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6CA3" w14:textId="32C77BB4" w:rsidR="00EC0392" w:rsidRPr="00EC0392" w:rsidRDefault="00373CF1" w:rsidP="00EC0392">
      <w:pPr>
        <w:ind w:left="278" w:right="749"/>
        <w:rPr>
          <w:b/>
          <w:bCs/>
          <w:sz w:val="28"/>
          <w:szCs w:val="24"/>
        </w:rPr>
      </w:pPr>
      <w:r>
        <w:rPr>
          <w:b/>
          <w:bCs/>
          <w:noProof/>
          <w:sz w:val="28"/>
          <w:szCs w:val="24"/>
        </w:rPr>
        <w:drawing>
          <wp:anchor distT="0" distB="0" distL="114300" distR="114300" simplePos="0" relativeHeight="251658240" behindDoc="0" locked="0" layoutInCell="1" allowOverlap="1" wp14:anchorId="4C613050" wp14:editId="56B8B888">
            <wp:simplePos x="0" y="0"/>
            <wp:positionH relativeFrom="column">
              <wp:posOffset>4528967</wp:posOffset>
            </wp:positionH>
            <wp:positionV relativeFrom="paragraph">
              <wp:posOffset>-637954</wp:posOffset>
            </wp:positionV>
            <wp:extent cx="1701165" cy="382270"/>
            <wp:effectExtent l="0" t="0" r="0"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165" cy="382270"/>
                    </a:xfrm>
                    <a:prstGeom prst="rect">
                      <a:avLst/>
                    </a:prstGeom>
                  </pic:spPr>
                </pic:pic>
              </a:graphicData>
            </a:graphic>
            <wp14:sizeRelH relativeFrom="page">
              <wp14:pctWidth>0</wp14:pctWidth>
            </wp14:sizeRelH>
            <wp14:sizeRelV relativeFrom="page">
              <wp14:pctHeight>0</wp14:pctHeight>
            </wp14:sizeRelV>
          </wp:anchor>
        </w:drawing>
      </w:r>
      <w:r w:rsidR="00EC0392" w:rsidRPr="00EC0392">
        <w:rPr>
          <w:b/>
          <w:bCs/>
          <w:sz w:val="28"/>
          <w:szCs w:val="24"/>
        </w:rPr>
        <w:t>Bachelor of Music – Student requirements</w:t>
      </w:r>
      <w:r>
        <w:rPr>
          <w:b/>
          <w:bCs/>
          <w:sz w:val="28"/>
          <w:szCs w:val="24"/>
        </w:rPr>
        <w:t xml:space="preserve"> for assessments and attendance. </w:t>
      </w:r>
    </w:p>
    <w:p w14:paraId="20399B2C" w14:textId="77777777" w:rsidR="00EC0392" w:rsidRDefault="00EC0392" w:rsidP="00EC0392">
      <w:pPr>
        <w:ind w:left="278" w:right="749"/>
      </w:pPr>
    </w:p>
    <w:p w14:paraId="4D13D72E" w14:textId="0D3710EC" w:rsidR="00EC0392" w:rsidRPr="00EC0392" w:rsidRDefault="00EC0392" w:rsidP="00EC0392">
      <w:pPr>
        <w:ind w:left="278" w:right="749"/>
        <w:rPr>
          <w:b/>
          <w:bCs/>
        </w:rPr>
      </w:pPr>
      <w:r w:rsidRPr="00EC0392">
        <w:rPr>
          <w:b/>
          <w:bCs/>
        </w:rPr>
        <w:t xml:space="preserve">Online assessment submission </w:t>
      </w:r>
    </w:p>
    <w:p w14:paraId="154ADFC3" w14:textId="3DE45B1E" w:rsidR="00EC0392" w:rsidRDefault="00EC0392" w:rsidP="00EC0392">
      <w:pPr>
        <w:ind w:left="278" w:right="749"/>
      </w:pPr>
      <w:r>
        <w:t>The normal mode of assignment submission is via Tabor Online (Moodle). Please ensure documents are compatible with Microsoft Word</w:t>
      </w:r>
      <w:r>
        <w:t xml:space="preserve">, </w:t>
      </w:r>
      <w:proofErr w:type="gramStart"/>
      <w:r>
        <w:t>PDF</w:t>
      </w:r>
      <w:proofErr w:type="gramEnd"/>
      <w:r>
        <w:t xml:space="preserve"> or Sibelius. Our preference is that </w:t>
      </w:r>
      <w:proofErr w:type="gramStart"/>
      <w:r>
        <w:t>you</w:t>
      </w:r>
      <w:proofErr w:type="gramEnd"/>
      <w:r>
        <w:t xml:space="preserve"> standard submit written work in Microsoft Word and music notation as Sibelius files.  It is the </w:t>
      </w:r>
      <w:proofErr w:type="gramStart"/>
      <w:r>
        <w:t>students</w:t>
      </w:r>
      <w:proofErr w:type="gramEnd"/>
      <w:r>
        <w:t xml:space="preserve"> responsibility to ensure that the file can be open and not corrupt at the time of submission. </w:t>
      </w:r>
    </w:p>
    <w:p w14:paraId="4218F3A7" w14:textId="1490F631" w:rsidR="00EC0392" w:rsidRDefault="00EC0392" w:rsidP="00EC0392">
      <w:pPr>
        <w:ind w:left="278" w:right="749"/>
      </w:pPr>
    </w:p>
    <w:p w14:paraId="18418215" w14:textId="695536C5" w:rsidR="00EC0392" w:rsidRPr="00EC0392" w:rsidRDefault="00EC0392" w:rsidP="00EC0392">
      <w:pPr>
        <w:ind w:left="278" w:right="749"/>
        <w:rPr>
          <w:b/>
          <w:bCs/>
        </w:rPr>
      </w:pPr>
      <w:r w:rsidRPr="00EC0392">
        <w:rPr>
          <w:b/>
          <w:bCs/>
        </w:rPr>
        <w:t>Performances and hard copy submissions</w:t>
      </w:r>
    </w:p>
    <w:p w14:paraId="3767FDA5" w14:textId="09492CEE" w:rsidR="00EC0392" w:rsidRDefault="00EC0392" w:rsidP="00EC0392">
      <w:pPr>
        <w:ind w:left="278" w:right="749"/>
      </w:pPr>
      <w:r>
        <w:t xml:space="preserve">For assessments that are not able to be submitted online and are in the form of performances or hard copy format, please still submit a title page or cover sheet online outlining your assessment, by the respective due date.  These assessments also require a hard copy assessment sheet to be handed up which is available on our </w:t>
      </w:r>
      <w:hyperlink r:id="rId9" w:history="1">
        <w:r w:rsidRPr="009E25C4">
          <w:rPr>
            <w:rStyle w:val="Hyperlink"/>
          </w:rPr>
          <w:t>music site</w:t>
        </w:r>
      </w:hyperlink>
      <w:r w:rsidRPr="009E25C4">
        <w:t xml:space="preserve">. </w:t>
      </w:r>
      <w:r w:rsidR="006A4C1D" w:rsidRPr="009E25C4">
        <w:t>Performances</w:t>
      </w:r>
      <w:r w:rsidR="006A4C1D">
        <w:t xml:space="preserve"> require a copy of your sheet music to be handed up with every bar number marked and any adjustments made to the music. For further details on music performance assessments and recitals, please refer to the </w:t>
      </w:r>
      <w:hyperlink r:id="rId10" w:history="1">
        <w:r w:rsidR="009E25C4" w:rsidRPr="009E25C4">
          <w:rPr>
            <w:rStyle w:val="Hyperlink"/>
          </w:rPr>
          <w:t>Google Site.</w:t>
        </w:r>
      </w:hyperlink>
      <w:r w:rsidR="006A4C1D">
        <w:t xml:space="preserve"> </w:t>
      </w:r>
    </w:p>
    <w:p w14:paraId="1896089C" w14:textId="4ED50BBB" w:rsidR="006A4C1D" w:rsidRDefault="006A4C1D" w:rsidP="00EC0392">
      <w:pPr>
        <w:ind w:left="278" w:right="749"/>
      </w:pPr>
    </w:p>
    <w:p w14:paraId="5E2FF493" w14:textId="6BF6C76C" w:rsidR="006A4C1D" w:rsidRPr="006A4C1D" w:rsidRDefault="006A4C1D" w:rsidP="00EC0392">
      <w:pPr>
        <w:ind w:left="278" w:right="749"/>
        <w:rPr>
          <w:b/>
          <w:bCs/>
        </w:rPr>
      </w:pPr>
      <w:r w:rsidRPr="006A4C1D">
        <w:rPr>
          <w:b/>
          <w:bCs/>
        </w:rPr>
        <w:t>Assignment Style</w:t>
      </w:r>
    </w:p>
    <w:p w14:paraId="51FBDB15" w14:textId="049DDE9D" w:rsidR="006A4C1D" w:rsidRDefault="006A4C1D" w:rsidP="006A4C1D">
      <w:pPr>
        <w:ind w:left="278" w:right="749"/>
      </w:pPr>
      <w:r>
        <w:t xml:space="preserve">In Microsoft word please use a standard font type such as Arial, Calibri, Times New Roman or similar with 11 or 12 font size and 1.5 line spacing.  Please include the word count (which excludes your reference list).  </w:t>
      </w:r>
    </w:p>
    <w:p w14:paraId="3771E528" w14:textId="479FE9A9" w:rsidR="006A4C1D" w:rsidRDefault="006A4C1D" w:rsidP="006A4C1D">
      <w:pPr>
        <w:ind w:left="278" w:right="749"/>
      </w:pPr>
      <w:r>
        <w:t xml:space="preserve">All assignments require your name, student number, assignment title and subject. </w:t>
      </w:r>
    </w:p>
    <w:p w14:paraId="5CD3CA24" w14:textId="497B6379" w:rsidR="006A4C1D" w:rsidRDefault="006A4C1D" w:rsidP="006A4C1D">
      <w:pPr>
        <w:ind w:left="278" w:right="749"/>
      </w:pPr>
      <w:r>
        <w:t xml:space="preserve">In Sibelius, please ensure you have submitted your score as a transposed score (where applicable) with your name as either </w:t>
      </w:r>
      <w:proofErr w:type="spellStart"/>
      <w:r>
        <w:t>Arr</w:t>
      </w:r>
      <w:proofErr w:type="spellEnd"/>
      <w:r>
        <w:t xml:space="preserve"> (arranger) or composer, student number and subject/assessment name listed in in either the title or sub-title. Ensure you have included a tempo marking, dynamics, articulation and correct note grouping. </w:t>
      </w:r>
    </w:p>
    <w:p w14:paraId="477FCC19" w14:textId="0CC5A890" w:rsidR="006A4C1D" w:rsidRDefault="006A4C1D" w:rsidP="00EC0392">
      <w:pPr>
        <w:ind w:left="278" w:right="749"/>
      </w:pPr>
    </w:p>
    <w:p w14:paraId="15E048BF" w14:textId="37E39C0C" w:rsidR="006A4C1D" w:rsidRDefault="006A4C1D" w:rsidP="00EC0392">
      <w:pPr>
        <w:ind w:left="278" w:right="749"/>
        <w:rPr>
          <w:b/>
          <w:bCs/>
        </w:rPr>
      </w:pPr>
      <w:r>
        <w:rPr>
          <w:b/>
          <w:bCs/>
        </w:rPr>
        <w:t>Referencing</w:t>
      </w:r>
    </w:p>
    <w:p w14:paraId="31E65559" w14:textId="5FB0F7E9" w:rsidR="006A4C1D" w:rsidRPr="006A4C1D" w:rsidRDefault="006A4C1D" w:rsidP="00EC0392">
      <w:pPr>
        <w:ind w:left="278" w:right="749"/>
      </w:pPr>
      <w:r>
        <w:t xml:space="preserve">The Bachelor of Music uses APA6th style referencing. Any quote, paraphrase, or idea borrowed from someone else other than yourself should be referenced. More information can be found on the </w:t>
      </w:r>
      <w:hyperlink r:id="rId11" w:history="1">
        <w:r w:rsidRPr="009E25C4">
          <w:rPr>
            <w:rStyle w:val="Hyperlink"/>
          </w:rPr>
          <w:t>Tabor Library Website.</w:t>
        </w:r>
      </w:hyperlink>
      <w:r>
        <w:t xml:space="preserve"> </w:t>
      </w:r>
    </w:p>
    <w:p w14:paraId="15120235" w14:textId="77777777" w:rsidR="00EC0392" w:rsidRDefault="00EC0392" w:rsidP="00EC0392">
      <w:pPr>
        <w:ind w:left="278" w:right="749"/>
      </w:pPr>
    </w:p>
    <w:p w14:paraId="5994DB76" w14:textId="77777777" w:rsidR="00EC0392" w:rsidRDefault="00EC0392" w:rsidP="00EC0392">
      <w:pPr>
        <w:ind w:left="278" w:right="749"/>
      </w:pPr>
    </w:p>
    <w:p w14:paraId="1B3A55DB" w14:textId="05F7FE19" w:rsidR="006A4C1D" w:rsidRDefault="00EC0392" w:rsidP="006A4C1D">
      <w:pPr>
        <w:pStyle w:val="Heading2"/>
        <w:spacing w:after="5" w:line="250" w:lineRule="auto"/>
        <w:ind w:left="281" w:right="35"/>
        <w:jc w:val="both"/>
        <w:rPr>
          <w:rFonts w:ascii="Calibri" w:eastAsia="Calibri" w:hAnsi="Calibri" w:cs="Calibri"/>
          <w:color w:val="000000"/>
          <w:sz w:val="24"/>
          <w:u w:val="none" w:color="000000"/>
        </w:rPr>
      </w:pPr>
      <w:r>
        <w:rPr>
          <w:rFonts w:ascii="Calibri" w:eastAsia="Calibri" w:hAnsi="Calibri" w:cs="Calibri"/>
          <w:color w:val="000000"/>
          <w:sz w:val="24"/>
          <w:u w:val="none" w:color="000000"/>
        </w:rPr>
        <w:t xml:space="preserve">Due dates and late submissions </w:t>
      </w:r>
    </w:p>
    <w:p w14:paraId="6E8102DB" w14:textId="1DA3E9F5" w:rsidR="00EC0392" w:rsidRDefault="00EC0392" w:rsidP="00EC0392">
      <w:pPr>
        <w:spacing w:after="0" w:line="259" w:lineRule="auto"/>
        <w:ind w:left="283" w:firstLine="0"/>
        <w:jc w:val="left"/>
      </w:pPr>
    </w:p>
    <w:p w14:paraId="47D2F0D9" w14:textId="5C386A2B" w:rsidR="006A4C1D" w:rsidRDefault="006A4C1D" w:rsidP="00EC0392">
      <w:pPr>
        <w:ind w:left="278" w:right="42"/>
      </w:pPr>
      <w:r>
        <w:t xml:space="preserve">It is </w:t>
      </w:r>
      <w:r w:rsidR="003E4207">
        <w:t>student’s</w:t>
      </w:r>
      <w:r>
        <w:t xml:space="preserve"> responsibility to manage deadlines, </w:t>
      </w:r>
      <w:r w:rsidR="007F577E">
        <w:t xml:space="preserve">study-life </w:t>
      </w:r>
      <w:proofErr w:type="gramStart"/>
      <w:r w:rsidR="007F577E">
        <w:t>balance</w:t>
      </w:r>
      <w:proofErr w:type="gramEnd"/>
      <w:r w:rsidR="007F577E">
        <w:t xml:space="preserve"> and appropriate time to spend on studying.</w:t>
      </w:r>
      <w:r w:rsidR="00373CF1">
        <w:t xml:space="preserve"> Please be in regular contact with your lecturers, </w:t>
      </w:r>
      <w:proofErr w:type="gramStart"/>
      <w:r w:rsidR="00373CF1">
        <w:t>tutors</w:t>
      </w:r>
      <w:proofErr w:type="gramEnd"/>
      <w:r w:rsidR="00373CF1">
        <w:t xml:space="preserve"> and Head of Program if you are struggling, need additional support or require information on study skills. </w:t>
      </w:r>
      <w:r w:rsidR="007F577E">
        <w:t xml:space="preserve"> It is recommended that for each </w:t>
      </w:r>
      <w:proofErr w:type="gramStart"/>
      <w:r w:rsidR="007F577E">
        <w:t>three hour</w:t>
      </w:r>
      <w:proofErr w:type="gramEnd"/>
      <w:r w:rsidR="007F577E">
        <w:t xml:space="preserve"> lecture, students allow six hours of study time</w:t>
      </w:r>
      <w:r w:rsidR="00167528">
        <w:t xml:space="preserve"> per week. Please note that with the nature of music, additional practice and rehearsal time will be needed.  Extensions will only be considered if the request has been made no </w:t>
      </w:r>
      <w:r w:rsidR="00167528">
        <w:lastRenderedPageBreak/>
        <w:t>less than 24 hours in advance to the lecturer via email.  Extensions may be provided with appropriate requests such as due to medical issues</w:t>
      </w:r>
      <w:r w:rsidR="003E4207">
        <w:t xml:space="preserve"> or personal crisis</w:t>
      </w:r>
      <w:r w:rsidR="00167528">
        <w:t>. Extensions will not be made for students not being able to</w:t>
      </w:r>
      <w:r w:rsidR="003E4207">
        <w:t xml:space="preserve"> manage time properly such as due to work commitments.</w:t>
      </w:r>
    </w:p>
    <w:p w14:paraId="3F8E3396" w14:textId="4D5DC53A" w:rsidR="003E4207" w:rsidRDefault="003E4207" w:rsidP="00EC0392">
      <w:pPr>
        <w:ind w:left="278" w:right="42"/>
      </w:pPr>
    </w:p>
    <w:p w14:paraId="19061170" w14:textId="60D71C99" w:rsidR="00EC0392" w:rsidRPr="003E4207" w:rsidRDefault="00EC0392" w:rsidP="00EC0392">
      <w:pPr>
        <w:spacing w:after="0" w:line="266" w:lineRule="auto"/>
        <w:ind w:left="268" w:firstLine="0"/>
        <w:jc w:val="left"/>
        <w:rPr>
          <w:b/>
          <w:bCs/>
        </w:rPr>
      </w:pPr>
      <w:r w:rsidRPr="003E4207">
        <w:rPr>
          <w:b/>
          <w:bCs/>
        </w:rPr>
        <w:t>Late Submission Penalty</w:t>
      </w:r>
    </w:p>
    <w:p w14:paraId="18D7C125" w14:textId="77777777" w:rsidR="00EC0392" w:rsidRDefault="00EC0392" w:rsidP="00EC0392">
      <w:pPr>
        <w:spacing w:after="0" w:line="259" w:lineRule="auto"/>
        <w:ind w:left="283" w:firstLine="0"/>
        <w:jc w:val="left"/>
      </w:pPr>
      <w:r>
        <w:rPr>
          <w:b/>
          <w:sz w:val="22"/>
        </w:rPr>
        <w:t xml:space="preserve"> </w:t>
      </w:r>
    </w:p>
    <w:tbl>
      <w:tblPr>
        <w:tblStyle w:val="TableGrid"/>
        <w:tblW w:w="9218" w:type="dxa"/>
        <w:tblInd w:w="283" w:type="dxa"/>
        <w:tblCellMar>
          <w:top w:w="48" w:type="dxa"/>
          <w:left w:w="106" w:type="dxa"/>
          <w:bottom w:w="0" w:type="dxa"/>
          <w:right w:w="78" w:type="dxa"/>
        </w:tblCellMar>
        <w:tblLook w:val="04A0" w:firstRow="1" w:lastRow="0" w:firstColumn="1" w:lastColumn="0" w:noHBand="0" w:noVBand="1"/>
      </w:tblPr>
      <w:tblGrid>
        <w:gridCol w:w="2413"/>
        <w:gridCol w:w="1133"/>
        <w:gridCol w:w="5672"/>
      </w:tblGrid>
      <w:tr w:rsidR="00EC0392" w14:paraId="0716DEC7" w14:textId="77777777" w:rsidTr="00131917">
        <w:trPr>
          <w:trHeight w:val="785"/>
        </w:trPr>
        <w:tc>
          <w:tcPr>
            <w:tcW w:w="2413" w:type="dxa"/>
            <w:tcBorders>
              <w:top w:val="single" w:sz="4" w:space="0" w:color="000000"/>
              <w:left w:val="single" w:sz="4" w:space="0" w:color="000000"/>
              <w:bottom w:val="single" w:sz="4" w:space="0" w:color="000000"/>
              <w:right w:val="single" w:sz="4" w:space="0" w:color="000000"/>
            </w:tcBorders>
          </w:tcPr>
          <w:p w14:paraId="2819588C" w14:textId="77777777" w:rsidR="00EC0392" w:rsidRPr="003E4207" w:rsidRDefault="00EC0392" w:rsidP="00131917">
            <w:pPr>
              <w:spacing w:after="0" w:line="259" w:lineRule="auto"/>
              <w:ind w:left="2" w:firstLine="0"/>
              <w:jc w:val="left"/>
              <w:rPr>
                <w:b/>
                <w:bCs/>
              </w:rPr>
            </w:pPr>
            <w:r w:rsidRPr="003E4207">
              <w:rPr>
                <w:b/>
                <w:bCs/>
              </w:rPr>
              <w:t xml:space="preserve">Number of Days post Submission Due Date </w:t>
            </w:r>
          </w:p>
        </w:tc>
        <w:tc>
          <w:tcPr>
            <w:tcW w:w="1133" w:type="dxa"/>
            <w:tcBorders>
              <w:top w:val="single" w:sz="4" w:space="0" w:color="000000"/>
              <w:left w:val="single" w:sz="4" w:space="0" w:color="000000"/>
              <w:bottom w:val="single" w:sz="4" w:space="0" w:color="000000"/>
              <w:right w:val="single" w:sz="4" w:space="0" w:color="000000"/>
            </w:tcBorders>
          </w:tcPr>
          <w:p w14:paraId="6F66BDDC" w14:textId="77777777" w:rsidR="00EC0392" w:rsidRPr="003E4207" w:rsidRDefault="00EC0392" w:rsidP="00131917">
            <w:pPr>
              <w:spacing w:after="0" w:line="259" w:lineRule="auto"/>
              <w:ind w:left="0" w:firstLine="0"/>
              <w:jc w:val="left"/>
              <w:rPr>
                <w:b/>
                <w:bCs/>
              </w:rPr>
            </w:pPr>
            <w:r w:rsidRPr="003E4207">
              <w:rPr>
                <w:b/>
                <w:bCs/>
              </w:rPr>
              <w:t xml:space="preserve">% Penalty </w:t>
            </w:r>
          </w:p>
          <w:p w14:paraId="538E9A4E" w14:textId="77777777" w:rsidR="00EC0392" w:rsidRPr="003E4207" w:rsidRDefault="00EC0392" w:rsidP="00131917">
            <w:pPr>
              <w:spacing w:after="0" w:line="259" w:lineRule="auto"/>
              <w:ind w:left="0" w:firstLine="0"/>
              <w:jc w:val="left"/>
              <w:rPr>
                <w:b/>
                <w:bCs/>
              </w:rPr>
            </w:pPr>
            <w:r w:rsidRPr="003E4207">
              <w:rPr>
                <w:b/>
                <w:bCs/>
              </w:rPr>
              <w:t xml:space="preserve">Applied </w:t>
            </w:r>
          </w:p>
        </w:tc>
        <w:tc>
          <w:tcPr>
            <w:tcW w:w="5673" w:type="dxa"/>
            <w:vMerge w:val="restart"/>
            <w:tcBorders>
              <w:top w:val="single" w:sz="4" w:space="0" w:color="000000"/>
              <w:left w:val="single" w:sz="4" w:space="0" w:color="000000"/>
              <w:bottom w:val="single" w:sz="4" w:space="0" w:color="000000"/>
              <w:right w:val="single" w:sz="4" w:space="0" w:color="000000"/>
            </w:tcBorders>
          </w:tcPr>
          <w:p w14:paraId="20C28611" w14:textId="77777777" w:rsidR="00EC0392" w:rsidRPr="003E4207" w:rsidRDefault="00EC0392" w:rsidP="00131917">
            <w:pPr>
              <w:spacing w:after="0" w:line="259" w:lineRule="auto"/>
              <w:ind w:left="2" w:firstLine="0"/>
              <w:jc w:val="left"/>
              <w:rPr>
                <w:b/>
                <w:bCs/>
              </w:rPr>
            </w:pPr>
            <w:r w:rsidRPr="003E4207">
              <w:rPr>
                <w:b/>
                <w:bCs/>
              </w:rPr>
              <w:t xml:space="preserve"> </w:t>
            </w:r>
          </w:p>
          <w:p w14:paraId="619E0AF2" w14:textId="77777777" w:rsidR="00EC0392" w:rsidRPr="003E4207" w:rsidRDefault="00EC0392" w:rsidP="00131917">
            <w:pPr>
              <w:spacing w:after="0" w:line="259" w:lineRule="auto"/>
              <w:ind w:left="2" w:firstLine="0"/>
              <w:jc w:val="left"/>
            </w:pPr>
            <w:r w:rsidRPr="003E4207">
              <w:t>N.B. The penalty percentage applied is a percentage of the original grade achieved for the assignment, NOT a percentage of total grade possible for the assignment (</w:t>
            </w:r>
            <w:proofErr w:type="gramStart"/>
            <w:r w:rsidRPr="003E4207">
              <w:t>e.g.</w:t>
            </w:r>
            <w:proofErr w:type="gramEnd"/>
            <w:r w:rsidRPr="003E4207">
              <w:t xml:space="preserve"> 100) </w:t>
            </w:r>
          </w:p>
        </w:tc>
      </w:tr>
      <w:tr w:rsidR="00EC0392" w14:paraId="39C9CD07" w14:textId="77777777" w:rsidTr="00131917">
        <w:trPr>
          <w:trHeight w:val="278"/>
        </w:trPr>
        <w:tc>
          <w:tcPr>
            <w:tcW w:w="2413" w:type="dxa"/>
            <w:tcBorders>
              <w:top w:val="single" w:sz="4" w:space="0" w:color="000000"/>
              <w:left w:val="single" w:sz="4" w:space="0" w:color="000000"/>
              <w:bottom w:val="single" w:sz="4" w:space="0" w:color="000000"/>
              <w:right w:val="single" w:sz="4" w:space="0" w:color="000000"/>
            </w:tcBorders>
          </w:tcPr>
          <w:p w14:paraId="136D2B3F" w14:textId="77777777" w:rsidR="00EC0392" w:rsidRDefault="00EC0392" w:rsidP="00131917">
            <w:pPr>
              <w:spacing w:after="0" w:line="259" w:lineRule="auto"/>
              <w:ind w:left="2" w:firstLine="0"/>
              <w:jc w:val="left"/>
            </w:pPr>
            <w:r w:rsidRPr="003E4207">
              <w:t xml:space="preserve">1-3 </w:t>
            </w:r>
          </w:p>
        </w:tc>
        <w:tc>
          <w:tcPr>
            <w:tcW w:w="1133" w:type="dxa"/>
            <w:tcBorders>
              <w:top w:val="single" w:sz="4" w:space="0" w:color="000000"/>
              <w:left w:val="single" w:sz="4" w:space="0" w:color="000000"/>
              <w:bottom w:val="single" w:sz="4" w:space="0" w:color="000000"/>
              <w:right w:val="single" w:sz="4" w:space="0" w:color="000000"/>
            </w:tcBorders>
          </w:tcPr>
          <w:p w14:paraId="5E20D724" w14:textId="77777777" w:rsidR="00EC0392" w:rsidRDefault="00EC0392" w:rsidP="00131917">
            <w:pPr>
              <w:spacing w:after="0" w:line="259" w:lineRule="auto"/>
              <w:ind w:left="0" w:firstLine="0"/>
              <w:jc w:val="left"/>
            </w:pPr>
            <w:r w:rsidRPr="003E4207">
              <w:t xml:space="preserve">5% </w:t>
            </w:r>
          </w:p>
        </w:tc>
        <w:tc>
          <w:tcPr>
            <w:tcW w:w="0" w:type="auto"/>
            <w:vMerge/>
            <w:tcBorders>
              <w:top w:val="nil"/>
              <w:left w:val="single" w:sz="4" w:space="0" w:color="000000"/>
              <w:bottom w:val="nil"/>
              <w:right w:val="single" w:sz="4" w:space="0" w:color="000000"/>
            </w:tcBorders>
          </w:tcPr>
          <w:p w14:paraId="2CEA7651" w14:textId="77777777" w:rsidR="00EC0392" w:rsidRDefault="00EC0392" w:rsidP="00131917">
            <w:pPr>
              <w:spacing w:after="160" w:line="259" w:lineRule="auto"/>
              <w:ind w:left="0" w:firstLine="0"/>
              <w:jc w:val="left"/>
            </w:pPr>
          </w:p>
        </w:tc>
      </w:tr>
      <w:tr w:rsidR="00EC0392" w14:paraId="0478D51C" w14:textId="77777777" w:rsidTr="00131917">
        <w:trPr>
          <w:trHeight w:val="278"/>
        </w:trPr>
        <w:tc>
          <w:tcPr>
            <w:tcW w:w="2413" w:type="dxa"/>
            <w:tcBorders>
              <w:top w:val="single" w:sz="4" w:space="0" w:color="000000"/>
              <w:left w:val="single" w:sz="4" w:space="0" w:color="000000"/>
              <w:bottom w:val="single" w:sz="4" w:space="0" w:color="000000"/>
              <w:right w:val="single" w:sz="4" w:space="0" w:color="000000"/>
            </w:tcBorders>
          </w:tcPr>
          <w:p w14:paraId="0DCB69F3" w14:textId="77777777" w:rsidR="00EC0392" w:rsidRDefault="00EC0392" w:rsidP="00131917">
            <w:pPr>
              <w:spacing w:after="0" w:line="259" w:lineRule="auto"/>
              <w:ind w:left="2" w:firstLine="0"/>
              <w:jc w:val="left"/>
            </w:pPr>
            <w:r w:rsidRPr="003E4207">
              <w:t xml:space="preserve">4-7 </w:t>
            </w:r>
          </w:p>
        </w:tc>
        <w:tc>
          <w:tcPr>
            <w:tcW w:w="1133" w:type="dxa"/>
            <w:tcBorders>
              <w:top w:val="single" w:sz="4" w:space="0" w:color="000000"/>
              <w:left w:val="single" w:sz="4" w:space="0" w:color="000000"/>
              <w:bottom w:val="single" w:sz="4" w:space="0" w:color="000000"/>
              <w:right w:val="single" w:sz="4" w:space="0" w:color="000000"/>
            </w:tcBorders>
          </w:tcPr>
          <w:p w14:paraId="4FAC520A" w14:textId="77777777" w:rsidR="00EC0392" w:rsidRDefault="00EC0392" w:rsidP="00131917">
            <w:pPr>
              <w:spacing w:after="0" w:line="259" w:lineRule="auto"/>
              <w:ind w:left="0" w:firstLine="0"/>
              <w:jc w:val="left"/>
            </w:pPr>
            <w:r w:rsidRPr="003E4207">
              <w:t xml:space="preserve">10% </w:t>
            </w:r>
          </w:p>
        </w:tc>
        <w:tc>
          <w:tcPr>
            <w:tcW w:w="0" w:type="auto"/>
            <w:vMerge/>
            <w:tcBorders>
              <w:top w:val="nil"/>
              <w:left w:val="single" w:sz="4" w:space="0" w:color="000000"/>
              <w:bottom w:val="nil"/>
              <w:right w:val="single" w:sz="4" w:space="0" w:color="000000"/>
            </w:tcBorders>
          </w:tcPr>
          <w:p w14:paraId="20D41D68" w14:textId="77777777" w:rsidR="00EC0392" w:rsidRDefault="00EC0392" w:rsidP="00131917">
            <w:pPr>
              <w:spacing w:after="160" w:line="259" w:lineRule="auto"/>
              <w:ind w:left="0" w:firstLine="0"/>
              <w:jc w:val="left"/>
            </w:pPr>
          </w:p>
        </w:tc>
      </w:tr>
      <w:tr w:rsidR="00EC0392" w14:paraId="78B07C99" w14:textId="77777777" w:rsidTr="00131917">
        <w:trPr>
          <w:trHeight w:val="278"/>
        </w:trPr>
        <w:tc>
          <w:tcPr>
            <w:tcW w:w="2413" w:type="dxa"/>
            <w:tcBorders>
              <w:top w:val="single" w:sz="4" w:space="0" w:color="000000"/>
              <w:left w:val="single" w:sz="4" w:space="0" w:color="000000"/>
              <w:bottom w:val="single" w:sz="4" w:space="0" w:color="000000"/>
              <w:right w:val="single" w:sz="4" w:space="0" w:color="000000"/>
            </w:tcBorders>
          </w:tcPr>
          <w:p w14:paraId="2A943ABC" w14:textId="77777777" w:rsidR="00EC0392" w:rsidRDefault="00EC0392" w:rsidP="00131917">
            <w:pPr>
              <w:spacing w:after="0" w:line="259" w:lineRule="auto"/>
              <w:ind w:left="2" w:firstLine="0"/>
              <w:jc w:val="left"/>
            </w:pPr>
            <w:r w:rsidRPr="003E4207">
              <w:t xml:space="preserve">8-14 </w:t>
            </w:r>
          </w:p>
        </w:tc>
        <w:tc>
          <w:tcPr>
            <w:tcW w:w="1133" w:type="dxa"/>
            <w:tcBorders>
              <w:top w:val="single" w:sz="4" w:space="0" w:color="000000"/>
              <w:left w:val="single" w:sz="4" w:space="0" w:color="000000"/>
              <w:bottom w:val="single" w:sz="4" w:space="0" w:color="000000"/>
              <w:right w:val="single" w:sz="4" w:space="0" w:color="000000"/>
            </w:tcBorders>
          </w:tcPr>
          <w:p w14:paraId="139E148B" w14:textId="77777777" w:rsidR="00EC0392" w:rsidRDefault="00EC0392" w:rsidP="00131917">
            <w:pPr>
              <w:spacing w:after="0" w:line="259" w:lineRule="auto"/>
              <w:ind w:left="0" w:firstLine="0"/>
              <w:jc w:val="left"/>
            </w:pPr>
            <w:r w:rsidRPr="003E4207">
              <w:t xml:space="preserve">20% </w:t>
            </w:r>
          </w:p>
        </w:tc>
        <w:tc>
          <w:tcPr>
            <w:tcW w:w="0" w:type="auto"/>
            <w:vMerge/>
            <w:tcBorders>
              <w:top w:val="nil"/>
              <w:left w:val="single" w:sz="4" w:space="0" w:color="000000"/>
              <w:bottom w:val="single" w:sz="4" w:space="0" w:color="000000"/>
              <w:right w:val="single" w:sz="4" w:space="0" w:color="000000"/>
            </w:tcBorders>
          </w:tcPr>
          <w:p w14:paraId="3286CE98" w14:textId="77777777" w:rsidR="00EC0392" w:rsidRDefault="00EC0392" w:rsidP="00131917">
            <w:pPr>
              <w:spacing w:after="160" w:line="259" w:lineRule="auto"/>
              <w:ind w:left="0" w:firstLine="0"/>
              <w:jc w:val="left"/>
            </w:pPr>
          </w:p>
        </w:tc>
      </w:tr>
      <w:tr w:rsidR="00EC0392" w14:paraId="58EA88F7" w14:textId="77777777" w:rsidTr="00131917">
        <w:trPr>
          <w:trHeight w:val="547"/>
        </w:trPr>
        <w:tc>
          <w:tcPr>
            <w:tcW w:w="2413" w:type="dxa"/>
            <w:tcBorders>
              <w:top w:val="single" w:sz="4" w:space="0" w:color="000000"/>
              <w:left w:val="single" w:sz="4" w:space="0" w:color="000000"/>
              <w:bottom w:val="single" w:sz="4" w:space="0" w:color="000000"/>
              <w:right w:val="single" w:sz="4" w:space="0" w:color="000000"/>
            </w:tcBorders>
          </w:tcPr>
          <w:p w14:paraId="25A9028E" w14:textId="77777777" w:rsidR="00EC0392" w:rsidRDefault="00EC0392" w:rsidP="00131917">
            <w:pPr>
              <w:spacing w:after="0" w:line="259" w:lineRule="auto"/>
              <w:ind w:left="2" w:firstLine="0"/>
              <w:jc w:val="left"/>
            </w:pPr>
            <w:r w:rsidRPr="003E4207">
              <w:t xml:space="preserve">14+ </w:t>
            </w:r>
          </w:p>
        </w:tc>
        <w:tc>
          <w:tcPr>
            <w:tcW w:w="1133" w:type="dxa"/>
            <w:tcBorders>
              <w:top w:val="single" w:sz="4" w:space="0" w:color="000000"/>
              <w:left w:val="single" w:sz="4" w:space="0" w:color="000000"/>
              <w:bottom w:val="single" w:sz="4" w:space="0" w:color="000000"/>
              <w:right w:val="single" w:sz="4" w:space="0" w:color="000000"/>
            </w:tcBorders>
          </w:tcPr>
          <w:p w14:paraId="5FD3B68F" w14:textId="77777777" w:rsidR="00EC0392" w:rsidRDefault="00EC0392" w:rsidP="00131917">
            <w:pPr>
              <w:spacing w:after="0" w:line="259" w:lineRule="auto"/>
              <w:ind w:left="0" w:firstLine="0"/>
              <w:jc w:val="left"/>
            </w:pPr>
            <w:r w:rsidRPr="003E4207">
              <w:t xml:space="preserve">Not </w:t>
            </w:r>
          </w:p>
          <w:p w14:paraId="580F75E6" w14:textId="77777777" w:rsidR="00EC0392" w:rsidRDefault="00EC0392" w:rsidP="00131917">
            <w:pPr>
              <w:spacing w:after="0" w:line="259" w:lineRule="auto"/>
              <w:ind w:left="0" w:firstLine="0"/>
              <w:jc w:val="left"/>
            </w:pPr>
            <w:r w:rsidRPr="003E4207">
              <w:t xml:space="preserve">Marked </w:t>
            </w:r>
          </w:p>
        </w:tc>
        <w:tc>
          <w:tcPr>
            <w:tcW w:w="5673" w:type="dxa"/>
            <w:tcBorders>
              <w:top w:val="single" w:sz="4" w:space="0" w:color="000000"/>
              <w:left w:val="single" w:sz="4" w:space="0" w:color="000000"/>
              <w:bottom w:val="single" w:sz="4" w:space="0" w:color="000000"/>
              <w:right w:val="single" w:sz="4" w:space="0" w:color="000000"/>
            </w:tcBorders>
          </w:tcPr>
          <w:p w14:paraId="642ACC3F" w14:textId="77777777" w:rsidR="00EC0392" w:rsidRDefault="00EC0392" w:rsidP="00131917">
            <w:pPr>
              <w:spacing w:after="0" w:line="259" w:lineRule="auto"/>
              <w:ind w:left="2" w:firstLine="0"/>
              <w:jc w:val="left"/>
            </w:pPr>
            <w:r w:rsidRPr="003E4207">
              <w:t xml:space="preserve">Student must contact Head of Program  </w:t>
            </w:r>
          </w:p>
        </w:tc>
      </w:tr>
    </w:tbl>
    <w:p w14:paraId="38956424" w14:textId="77777777" w:rsidR="00EC0392" w:rsidRDefault="00EC0392" w:rsidP="00EC0392">
      <w:pPr>
        <w:spacing w:after="0" w:line="259" w:lineRule="auto"/>
        <w:ind w:left="0" w:firstLine="0"/>
        <w:jc w:val="left"/>
      </w:pPr>
      <w:r>
        <w:rPr>
          <w:sz w:val="22"/>
        </w:rPr>
        <w:t xml:space="preserve"> </w:t>
      </w:r>
    </w:p>
    <w:p w14:paraId="798BB9E5" w14:textId="3770FD50" w:rsidR="00EC0392" w:rsidRDefault="00EC0392" w:rsidP="00EC0392">
      <w:pPr>
        <w:spacing w:after="0" w:line="259" w:lineRule="auto"/>
        <w:ind w:left="0" w:firstLine="0"/>
        <w:jc w:val="left"/>
      </w:pPr>
      <w:r>
        <w:rPr>
          <w:sz w:val="22"/>
        </w:rPr>
        <w:t xml:space="preserve">  </w:t>
      </w:r>
    </w:p>
    <w:p w14:paraId="5CCA702D" w14:textId="22A0DD7E" w:rsidR="00EC0392" w:rsidRDefault="00EC0392" w:rsidP="00373CF1">
      <w:pPr>
        <w:ind w:left="278" w:right="42"/>
      </w:pPr>
      <w:r>
        <w:t xml:space="preserve">Students may either accept the late penalty (no communication or administration necessary) </w:t>
      </w:r>
      <w:r>
        <w:rPr>
          <w:b/>
        </w:rPr>
        <w:t>OR</w:t>
      </w:r>
      <w:r>
        <w:t xml:space="preserve"> complete an online Reinstatement of Marks application</w:t>
      </w:r>
      <w:r w:rsidR="003E4207">
        <w:t xml:space="preserve"> if you are requesting an extension post the </w:t>
      </w:r>
      <w:proofErr w:type="gramStart"/>
      <w:r w:rsidR="003E4207">
        <w:t>24 hour</w:t>
      </w:r>
      <w:proofErr w:type="gramEnd"/>
      <w:r w:rsidR="003E4207">
        <w:t xml:space="preserve"> grace period before the assessment is due. If </w:t>
      </w:r>
      <w:r>
        <w:t xml:space="preserve">you consider </w:t>
      </w:r>
      <w:r w:rsidR="003E4207">
        <w:t>to</w:t>
      </w:r>
      <w:r>
        <w:t xml:space="preserve"> have appropriate grounds to do so</w:t>
      </w:r>
      <w:r w:rsidR="003E4207">
        <w:t>,  the</w:t>
      </w:r>
      <w:r>
        <w:t xml:space="preserve"> application form can be accessed on the Tabor online learning site, or by </w:t>
      </w:r>
      <w:hyperlink r:id="rId12">
        <w:r>
          <w:rPr>
            <w:color w:val="0000FF"/>
            <w:u w:val="single" w:color="0000FF"/>
          </w:rPr>
          <w:t>clicking</w:t>
        </w:r>
      </w:hyperlink>
      <w:hyperlink r:id="rId13">
        <w:r>
          <w:rPr>
            <w:color w:val="0000FF"/>
            <w:u w:val="single" w:color="0000FF"/>
          </w:rPr>
          <w:t xml:space="preserve"> </w:t>
        </w:r>
      </w:hyperlink>
      <w:hyperlink r:id="rId14">
        <w:r>
          <w:rPr>
            <w:color w:val="0000FF"/>
            <w:u w:val="single" w:color="0000FF"/>
          </w:rPr>
          <w:t>here</w:t>
        </w:r>
      </w:hyperlink>
      <w:hyperlink r:id="rId15">
        <w:r>
          <w:t>.</w:t>
        </w:r>
      </w:hyperlink>
      <w:r>
        <w:t xml:space="preserve">  Appropriate grounds include medical, compassionate, and hardship/trauma. More detail about these grounds and the acceptable evidence can be found on the application form. </w:t>
      </w:r>
    </w:p>
    <w:p w14:paraId="5D3E5DC4" w14:textId="77777777" w:rsidR="00EC0392" w:rsidRDefault="00EC0392" w:rsidP="00EC0392">
      <w:pPr>
        <w:spacing w:after="0" w:line="259" w:lineRule="auto"/>
        <w:ind w:left="271" w:firstLine="0"/>
        <w:jc w:val="left"/>
      </w:pPr>
      <w:r>
        <w:t xml:space="preserve"> </w:t>
      </w:r>
    </w:p>
    <w:p w14:paraId="7FFB783C" w14:textId="77777777" w:rsidR="00EC0392" w:rsidRPr="00373CF1" w:rsidRDefault="00EC0392" w:rsidP="00373CF1">
      <w:pPr>
        <w:pStyle w:val="Heading1"/>
        <w:ind w:left="278"/>
        <w:rPr>
          <w:rFonts w:ascii="Calibri" w:eastAsia="Calibri" w:hAnsi="Calibri" w:cs="Calibri"/>
          <w:color w:val="000000"/>
          <w:sz w:val="24"/>
          <w:u w:val="none" w:color="000000"/>
        </w:rPr>
      </w:pPr>
      <w:bookmarkStart w:id="0" w:name="_Toc49052"/>
      <w:r w:rsidRPr="00373CF1">
        <w:rPr>
          <w:rFonts w:ascii="Calibri" w:eastAsia="Calibri" w:hAnsi="Calibri" w:cs="Calibri"/>
          <w:color w:val="000000"/>
          <w:sz w:val="24"/>
          <w:u w:val="none" w:color="000000"/>
        </w:rPr>
        <w:t xml:space="preserve">Student Attendance </w:t>
      </w:r>
      <w:bookmarkEnd w:id="0"/>
    </w:p>
    <w:p w14:paraId="6D40977F" w14:textId="77777777" w:rsidR="00EC0392" w:rsidRDefault="00EC0392" w:rsidP="00373CF1">
      <w:pPr>
        <w:ind w:left="278" w:right="749"/>
      </w:pPr>
      <w:r w:rsidRPr="00373CF1">
        <w:t xml:space="preserve"> </w:t>
      </w:r>
    </w:p>
    <w:p w14:paraId="59193242" w14:textId="43B07C11" w:rsidR="00373CF1" w:rsidRDefault="00373CF1" w:rsidP="00373CF1">
      <w:pPr>
        <w:pStyle w:val="Heading3"/>
        <w:ind w:right="35"/>
        <w:rPr>
          <w:b w:val="0"/>
          <w:bCs/>
        </w:rPr>
      </w:pPr>
      <w:r>
        <w:rPr>
          <w:b w:val="0"/>
          <w:bCs/>
        </w:rPr>
        <w:t xml:space="preserve">With the nature of music, a lot of </w:t>
      </w:r>
      <w:r w:rsidR="009E25C4">
        <w:rPr>
          <w:b w:val="0"/>
          <w:bCs/>
        </w:rPr>
        <w:t>teamwork</w:t>
      </w:r>
      <w:r>
        <w:rPr>
          <w:b w:val="0"/>
          <w:bCs/>
        </w:rPr>
        <w:t xml:space="preserve"> is required for performances, </w:t>
      </w:r>
      <w:proofErr w:type="gramStart"/>
      <w:r>
        <w:rPr>
          <w:b w:val="0"/>
          <w:bCs/>
        </w:rPr>
        <w:t>rehearsals</w:t>
      </w:r>
      <w:proofErr w:type="gramEnd"/>
      <w:r>
        <w:rPr>
          <w:b w:val="0"/>
          <w:bCs/>
        </w:rPr>
        <w:t xml:space="preserve"> and group activities. </w:t>
      </w:r>
      <w:r w:rsidR="009E25C4">
        <w:rPr>
          <w:b w:val="0"/>
          <w:bCs/>
        </w:rPr>
        <w:t>Therefore,</w:t>
      </w:r>
      <w:r>
        <w:rPr>
          <w:b w:val="0"/>
          <w:bCs/>
        </w:rPr>
        <w:t xml:space="preserve"> it is crucial that students make every effort to attend all lectures and rehearsals. Please communicate in advance with your lecturer, </w:t>
      </w:r>
      <w:proofErr w:type="gramStart"/>
      <w:r>
        <w:rPr>
          <w:b w:val="0"/>
          <w:bCs/>
        </w:rPr>
        <w:t>tutor</w:t>
      </w:r>
      <w:proofErr w:type="gramEnd"/>
      <w:r>
        <w:rPr>
          <w:b w:val="0"/>
          <w:bCs/>
        </w:rPr>
        <w:t xml:space="preserve"> or ensemble members if you are going to be absent or late. It is </w:t>
      </w:r>
      <w:r w:rsidR="009E25C4">
        <w:rPr>
          <w:b w:val="0"/>
          <w:bCs/>
        </w:rPr>
        <w:t>student’s</w:t>
      </w:r>
      <w:r>
        <w:rPr>
          <w:b w:val="0"/>
          <w:bCs/>
        </w:rPr>
        <w:t xml:space="preserve"> responsibility to therefore catch up on work missed (it is not the </w:t>
      </w:r>
      <w:proofErr w:type="gramStart"/>
      <w:r>
        <w:rPr>
          <w:b w:val="0"/>
          <w:bCs/>
        </w:rPr>
        <w:t>lecturers</w:t>
      </w:r>
      <w:proofErr w:type="gramEnd"/>
      <w:r>
        <w:rPr>
          <w:b w:val="0"/>
          <w:bCs/>
        </w:rPr>
        <w:t xml:space="preserve"> responsibility to catch you up. The minimum attendance is 75% for lectures, and 80% for rehearsals/</w:t>
      </w:r>
      <w:r w:rsidR="009E25C4">
        <w:rPr>
          <w:b w:val="0"/>
          <w:bCs/>
        </w:rPr>
        <w:t>performance-based</w:t>
      </w:r>
      <w:r>
        <w:rPr>
          <w:b w:val="0"/>
          <w:bCs/>
        </w:rPr>
        <w:t xml:space="preserve"> subjects.  </w:t>
      </w:r>
    </w:p>
    <w:p w14:paraId="505767E4" w14:textId="44396CF8" w:rsidR="00373CF1" w:rsidRDefault="00373CF1" w:rsidP="00373CF1"/>
    <w:p w14:paraId="6A164972" w14:textId="2E60D469" w:rsidR="00373CF1" w:rsidRDefault="00373CF1" w:rsidP="00373CF1">
      <w:pPr>
        <w:ind w:left="281"/>
        <w:rPr>
          <w:bCs/>
        </w:rPr>
      </w:pPr>
      <w:r w:rsidRPr="00373CF1">
        <w:rPr>
          <w:bCs/>
        </w:rPr>
        <w:t xml:space="preserve">For rehearsals and </w:t>
      </w:r>
      <w:r w:rsidR="009E25C4" w:rsidRPr="00373CF1">
        <w:rPr>
          <w:bCs/>
        </w:rPr>
        <w:t>performance-based</w:t>
      </w:r>
      <w:r w:rsidRPr="00373CF1">
        <w:rPr>
          <w:bCs/>
        </w:rPr>
        <w:t xml:space="preserve"> subjects, please arrive 15 minutes earlier to warm up, tune and have your charts ready. It is expected you have organised sheet music in a folder for your accompanist if required.</w:t>
      </w:r>
    </w:p>
    <w:p w14:paraId="47FB0963" w14:textId="63B6C400" w:rsidR="00373CF1" w:rsidRDefault="00373CF1" w:rsidP="00373CF1">
      <w:pPr>
        <w:ind w:left="281"/>
        <w:rPr>
          <w:bCs/>
        </w:rPr>
      </w:pPr>
    </w:p>
    <w:p w14:paraId="758A2F8E" w14:textId="7779FAB7" w:rsidR="00373CF1" w:rsidRPr="00373CF1" w:rsidRDefault="00373CF1" w:rsidP="00373CF1">
      <w:pPr>
        <w:ind w:left="281"/>
        <w:rPr>
          <w:bCs/>
        </w:rPr>
      </w:pPr>
      <w:r>
        <w:rPr>
          <w:b/>
        </w:rPr>
        <w:t xml:space="preserve">Music Email </w:t>
      </w:r>
      <w:r>
        <w:rPr>
          <w:bCs/>
        </w:rPr>
        <w:t>(all staff and SAC)</w:t>
      </w:r>
    </w:p>
    <w:p w14:paraId="33F3F803" w14:textId="3EBA4E88" w:rsidR="00373CF1" w:rsidRPr="00373CF1" w:rsidRDefault="00373CF1" w:rsidP="00373CF1">
      <w:pPr>
        <w:ind w:left="281"/>
        <w:rPr>
          <w:bCs/>
        </w:rPr>
      </w:pPr>
      <w:hyperlink r:id="rId16" w:history="1">
        <w:r w:rsidRPr="00915FA9">
          <w:rPr>
            <w:rStyle w:val="Hyperlink"/>
            <w:bCs/>
          </w:rPr>
          <w:t>music@tabor.edu.au</w:t>
        </w:r>
      </w:hyperlink>
      <w:r>
        <w:rPr>
          <w:bCs/>
        </w:rPr>
        <w:t xml:space="preserve"> </w:t>
      </w:r>
    </w:p>
    <w:sectPr w:rsidR="00373CF1" w:rsidRPr="00373CF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32CA" w14:textId="77777777" w:rsidR="003C4CDA" w:rsidRDefault="003C4CDA" w:rsidP="009E25C4">
      <w:pPr>
        <w:spacing w:after="0" w:line="240" w:lineRule="auto"/>
      </w:pPr>
      <w:r>
        <w:separator/>
      </w:r>
    </w:p>
  </w:endnote>
  <w:endnote w:type="continuationSeparator" w:id="0">
    <w:p w14:paraId="247AAEA1" w14:textId="77777777" w:rsidR="003C4CDA" w:rsidRDefault="003C4CDA" w:rsidP="009E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6C18" w14:textId="074527F2" w:rsidR="009E25C4" w:rsidRDefault="009E25C4">
    <w:pPr>
      <w:pStyle w:val="Footer"/>
    </w:pPr>
    <w:r>
      <w:t xml:space="preserve">BMus Assignment and Attendance Expectations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130DD" w14:textId="77777777" w:rsidR="003C4CDA" w:rsidRDefault="003C4CDA" w:rsidP="009E25C4">
      <w:pPr>
        <w:spacing w:after="0" w:line="240" w:lineRule="auto"/>
      </w:pPr>
      <w:r>
        <w:separator/>
      </w:r>
    </w:p>
  </w:footnote>
  <w:footnote w:type="continuationSeparator" w:id="0">
    <w:p w14:paraId="5341EA28" w14:textId="77777777" w:rsidR="003C4CDA" w:rsidRDefault="003C4CDA" w:rsidP="009E2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39B"/>
    <w:multiLevelType w:val="hybridMultilevel"/>
    <w:tmpl w:val="BFEEBB1A"/>
    <w:lvl w:ilvl="0" w:tplc="6A5002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E31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E454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FAA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679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826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04F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890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E81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92"/>
    <w:rsid w:val="00167528"/>
    <w:rsid w:val="00373CF1"/>
    <w:rsid w:val="003A50A6"/>
    <w:rsid w:val="003C4CDA"/>
    <w:rsid w:val="003E4207"/>
    <w:rsid w:val="006A4C1D"/>
    <w:rsid w:val="007F577E"/>
    <w:rsid w:val="009E25C4"/>
    <w:rsid w:val="00CA6B9F"/>
    <w:rsid w:val="00EC0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5FEE"/>
  <w15:chartTrackingRefBased/>
  <w15:docId w15:val="{0BACB9B5-9C81-4F62-87F9-8B346850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92"/>
    <w:pPr>
      <w:spacing w:after="5" w:line="250" w:lineRule="auto"/>
      <w:ind w:left="490" w:hanging="10"/>
      <w:jc w:val="both"/>
    </w:pPr>
    <w:rPr>
      <w:rFonts w:ascii="Calibri" w:eastAsia="Calibri" w:hAnsi="Calibri" w:cs="Calibri"/>
      <w:color w:val="000000"/>
      <w:sz w:val="24"/>
      <w:lang w:eastAsia="en-AU"/>
    </w:rPr>
  </w:style>
  <w:style w:type="paragraph" w:styleId="Heading1">
    <w:name w:val="heading 1"/>
    <w:next w:val="Normal"/>
    <w:link w:val="Heading1Char"/>
    <w:uiPriority w:val="9"/>
    <w:qFormat/>
    <w:rsid w:val="00EC0392"/>
    <w:pPr>
      <w:keepNext/>
      <w:keepLines/>
      <w:spacing w:after="27" w:line="251" w:lineRule="auto"/>
      <w:ind w:left="10" w:hanging="10"/>
      <w:outlineLvl w:val="0"/>
    </w:pPr>
    <w:rPr>
      <w:rFonts w:ascii="Arial" w:eastAsia="Arial" w:hAnsi="Arial" w:cs="Arial"/>
      <w:b/>
      <w:color w:val="7030A0"/>
      <w:sz w:val="26"/>
      <w:u w:val="single" w:color="7030A0"/>
      <w:lang w:eastAsia="en-AU"/>
    </w:rPr>
  </w:style>
  <w:style w:type="paragraph" w:styleId="Heading2">
    <w:name w:val="heading 2"/>
    <w:next w:val="Normal"/>
    <w:link w:val="Heading2Char"/>
    <w:uiPriority w:val="9"/>
    <w:unhideWhenUsed/>
    <w:qFormat/>
    <w:rsid w:val="00EC0392"/>
    <w:pPr>
      <w:keepNext/>
      <w:keepLines/>
      <w:spacing w:after="27" w:line="251" w:lineRule="auto"/>
      <w:ind w:left="10" w:hanging="10"/>
      <w:outlineLvl w:val="1"/>
    </w:pPr>
    <w:rPr>
      <w:rFonts w:ascii="Arial" w:eastAsia="Arial" w:hAnsi="Arial" w:cs="Arial"/>
      <w:b/>
      <w:color w:val="7030A0"/>
      <w:sz w:val="26"/>
      <w:u w:val="single" w:color="7030A0"/>
      <w:lang w:eastAsia="en-AU"/>
    </w:rPr>
  </w:style>
  <w:style w:type="paragraph" w:styleId="Heading3">
    <w:name w:val="heading 3"/>
    <w:next w:val="Normal"/>
    <w:link w:val="Heading3Char"/>
    <w:uiPriority w:val="9"/>
    <w:unhideWhenUsed/>
    <w:qFormat/>
    <w:rsid w:val="00EC0392"/>
    <w:pPr>
      <w:keepNext/>
      <w:keepLines/>
      <w:spacing w:after="5" w:line="250" w:lineRule="auto"/>
      <w:ind w:left="281" w:hanging="10"/>
      <w:jc w:val="both"/>
      <w:outlineLvl w:val="2"/>
    </w:pPr>
    <w:rPr>
      <w:rFonts w:ascii="Calibri" w:eastAsia="Calibri" w:hAnsi="Calibri" w:cs="Calibri"/>
      <w:b/>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92"/>
    <w:rPr>
      <w:rFonts w:ascii="Arial" w:eastAsia="Arial" w:hAnsi="Arial" w:cs="Arial"/>
      <w:b/>
      <w:color w:val="7030A0"/>
      <w:sz w:val="26"/>
      <w:u w:val="single" w:color="7030A0"/>
      <w:lang w:eastAsia="en-AU"/>
    </w:rPr>
  </w:style>
  <w:style w:type="character" w:customStyle="1" w:styleId="Heading2Char">
    <w:name w:val="Heading 2 Char"/>
    <w:basedOn w:val="DefaultParagraphFont"/>
    <w:link w:val="Heading2"/>
    <w:uiPriority w:val="9"/>
    <w:rsid w:val="00EC0392"/>
    <w:rPr>
      <w:rFonts w:ascii="Arial" w:eastAsia="Arial" w:hAnsi="Arial" w:cs="Arial"/>
      <w:b/>
      <w:color w:val="7030A0"/>
      <w:sz w:val="26"/>
      <w:u w:val="single" w:color="7030A0"/>
      <w:lang w:eastAsia="en-AU"/>
    </w:rPr>
  </w:style>
  <w:style w:type="character" w:customStyle="1" w:styleId="Heading3Char">
    <w:name w:val="Heading 3 Char"/>
    <w:basedOn w:val="DefaultParagraphFont"/>
    <w:link w:val="Heading3"/>
    <w:uiPriority w:val="9"/>
    <w:rsid w:val="00EC0392"/>
    <w:rPr>
      <w:rFonts w:ascii="Calibri" w:eastAsia="Calibri" w:hAnsi="Calibri" w:cs="Calibri"/>
      <w:b/>
      <w:color w:val="000000"/>
      <w:sz w:val="24"/>
      <w:lang w:eastAsia="en-AU"/>
    </w:rPr>
  </w:style>
  <w:style w:type="table" w:customStyle="1" w:styleId="TableGrid">
    <w:name w:val="TableGrid"/>
    <w:rsid w:val="00EC0392"/>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373CF1"/>
    <w:rPr>
      <w:color w:val="0563C1" w:themeColor="hyperlink"/>
      <w:u w:val="single"/>
    </w:rPr>
  </w:style>
  <w:style w:type="character" w:styleId="UnresolvedMention">
    <w:name w:val="Unresolved Mention"/>
    <w:basedOn w:val="DefaultParagraphFont"/>
    <w:uiPriority w:val="99"/>
    <w:semiHidden/>
    <w:unhideWhenUsed/>
    <w:rsid w:val="00373CF1"/>
    <w:rPr>
      <w:color w:val="605E5C"/>
      <w:shd w:val="clear" w:color="auto" w:fill="E1DFDD"/>
    </w:rPr>
  </w:style>
  <w:style w:type="paragraph" w:styleId="Header">
    <w:name w:val="header"/>
    <w:basedOn w:val="Normal"/>
    <w:link w:val="HeaderChar"/>
    <w:uiPriority w:val="99"/>
    <w:unhideWhenUsed/>
    <w:rsid w:val="009E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5C4"/>
    <w:rPr>
      <w:rFonts w:ascii="Calibri" w:eastAsia="Calibri" w:hAnsi="Calibri" w:cs="Calibri"/>
      <w:color w:val="000000"/>
      <w:sz w:val="24"/>
      <w:lang w:eastAsia="en-AU"/>
    </w:rPr>
  </w:style>
  <w:style w:type="paragraph" w:styleId="Footer">
    <w:name w:val="footer"/>
    <w:basedOn w:val="Normal"/>
    <w:link w:val="FooterChar"/>
    <w:uiPriority w:val="99"/>
    <w:unhideWhenUsed/>
    <w:rsid w:val="009E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5C4"/>
    <w:rPr>
      <w:rFonts w:ascii="Calibri" w:eastAsia="Calibri" w:hAnsi="Calibri" w:cs="Calibri"/>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martsheet.com/b/form/f2df87c28ca54a21b97ff6b1585bb5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f2df87c28ca54a21b97ff6b1585bb5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tabor.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tabor.edu.au/course/view.php?id=83" TargetMode="External"/><Relationship Id="rId5" Type="http://schemas.openxmlformats.org/officeDocument/2006/relationships/webSettings" Target="webSettings.xml"/><Relationship Id="rId15" Type="http://schemas.openxmlformats.org/officeDocument/2006/relationships/hyperlink" Target="https://app.smartsheet.com/b/form/f2df87c28ca54a21b97ff6b1585bb5cc" TargetMode="External"/><Relationship Id="rId10" Type="http://schemas.openxmlformats.org/officeDocument/2006/relationships/hyperlink" Target="https://sites.google.com/view/taborperformance/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sic.tabor.edu.au" TargetMode="External"/><Relationship Id="rId14" Type="http://schemas.openxmlformats.org/officeDocument/2006/relationships/hyperlink" Target="https://app.smartsheet.com/b/form/f2df87c28ca54a21b97ff6b1585bb5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C993-7A65-4FE4-8A64-B4A20FD6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Fletcher</dc:creator>
  <cp:keywords/>
  <dc:description/>
  <cp:lastModifiedBy>Janelle Fletcher</cp:lastModifiedBy>
  <cp:revision>2</cp:revision>
  <dcterms:created xsi:type="dcterms:W3CDTF">2021-01-29T00:43:00Z</dcterms:created>
  <dcterms:modified xsi:type="dcterms:W3CDTF">2021-01-29T03:43:00Z</dcterms:modified>
</cp:coreProperties>
</file>