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F1" w:rsidRPr="00C45EE4" w:rsidRDefault="00C45EE4">
      <w:pPr>
        <w:rPr>
          <w:b/>
        </w:rPr>
      </w:pPr>
      <w:r w:rsidRPr="00C45EE4">
        <w:rPr>
          <w:b/>
        </w:rPr>
        <w:t>Traditional four part vocal harmony</w:t>
      </w:r>
    </w:p>
    <w:p w:rsidR="00C45EE4" w:rsidRPr="00C45EE4" w:rsidRDefault="00C45EE4" w:rsidP="00C45EE4">
      <w:pPr>
        <w:rPr>
          <w:b/>
          <w:bCs/>
          <w:sz w:val="28"/>
        </w:rPr>
      </w:pPr>
      <w:r>
        <w:rPr>
          <w:b/>
          <w:bCs/>
          <w:sz w:val="28"/>
        </w:rPr>
        <w:t>The Dominant 7</w:t>
      </w:r>
      <w:r>
        <w:rPr>
          <w:b/>
          <w:bCs/>
          <w:sz w:val="28"/>
          <w:vertAlign w:val="superscript"/>
        </w:rPr>
        <w:t>th</w:t>
      </w:r>
      <w:r>
        <w:rPr>
          <w:b/>
          <w:bCs/>
          <w:sz w:val="28"/>
        </w:rPr>
        <w:t xml:space="preserve"> chord</w:t>
      </w:r>
    </w:p>
    <w:p w:rsidR="00C45EE4" w:rsidRDefault="00C45EE4" w:rsidP="00C45EE4">
      <w:r>
        <w:t>What are its features?</w:t>
      </w:r>
    </w:p>
    <w:p w:rsidR="00C45EE4" w:rsidRDefault="00C45EE4" w:rsidP="00C45EE4"/>
    <w:p w:rsidR="00C45EE4" w:rsidRDefault="00C45EE4" w:rsidP="00C45EE4">
      <w:r>
        <w:t>Built on the Dominant note in a key, it is the only Major triad with a minor 7</w:t>
      </w:r>
      <w:r>
        <w:rPr>
          <w:vertAlign w:val="superscript"/>
        </w:rPr>
        <w:t>th</w:t>
      </w:r>
      <w:r>
        <w:t xml:space="preserve"> in both Major and Harmonic Minor keys.</w:t>
      </w:r>
    </w:p>
    <w:p w:rsidR="00C45EE4" w:rsidRDefault="00C45EE4" w:rsidP="00C45E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2"/>
        <w:gridCol w:w="1026"/>
        <w:gridCol w:w="984"/>
        <w:gridCol w:w="1336"/>
        <w:gridCol w:w="1220"/>
        <w:gridCol w:w="1593"/>
        <w:gridCol w:w="921"/>
      </w:tblGrid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1442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Triad Type</w:t>
            </w:r>
          </w:p>
        </w:tc>
        <w:tc>
          <w:tcPr>
            <w:tcW w:w="1026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Root – 3rd</w:t>
            </w:r>
          </w:p>
        </w:tc>
        <w:tc>
          <w:tcPr>
            <w:tcW w:w="984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– 5th</w:t>
            </w:r>
          </w:p>
        </w:tc>
        <w:tc>
          <w:tcPr>
            <w:tcW w:w="1336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Root – 5th</w:t>
            </w:r>
          </w:p>
        </w:tc>
        <w:tc>
          <w:tcPr>
            <w:tcW w:w="1220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Root – 7th</w:t>
            </w:r>
          </w:p>
        </w:tc>
        <w:tc>
          <w:tcPr>
            <w:tcW w:w="1593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Abbreviation</w:t>
            </w:r>
          </w:p>
        </w:tc>
        <w:tc>
          <w:tcPr>
            <w:tcW w:w="921" w:type="dxa"/>
          </w:tcPr>
          <w:p w:rsidR="00C45EE4" w:rsidRDefault="00C45EE4" w:rsidP="00CE6C07">
            <w:pPr>
              <w:rPr>
                <w:b/>
                <w:bCs/>
              </w:rPr>
            </w:pPr>
            <w:r>
              <w:rPr>
                <w:b/>
                <w:bCs/>
              </w:rPr>
              <w:t>Chord in Key</w:t>
            </w:r>
          </w:p>
        </w:tc>
      </w:tr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1442" w:type="dxa"/>
          </w:tcPr>
          <w:p w:rsidR="00C45EE4" w:rsidRDefault="00C45EE4" w:rsidP="00CE6C07">
            <w:r>
              <w:t>Dominant 7th</w:t>
            </w:r>
          </w:p>
        </w:tc>
        <w:tc>
          <w:tcPr>
            <w:tcW w:w="1026" w:type="dxa"/>
          </w:tcPr>
          <w:p w:rsidR="00C45EE4" w:rsidRDefault="00C45EE4" w:rsidP="00CE6C07">
            <w:r>
              <w:t>Major 3</w:t>
            </w:r>
            <w:r>
              <w:rPr>
                <w:vertAlign w:val="superscript"/>
              </w:rPr>
              <w:t>rd</w:t>
            </w:r>
          </w:p>
        </w:tc>
        <w:tc>
          <w:tcPr>
            <w:tcW w:w="984" w:type="dxa"/>
          </w:tcPr>
          <w:p w:rsidR="00C45EE4" w:rsidRDefault="00C45EE4" w:rsidP="00CE6C07">
            <w:r>
              <w:t>minor 3</w:t>
            </w:r>
            <w:r>
              <w:rPr>
                <w:vertAlign w:val="superscript"/>
              </w:rPr>
              <w:t>rd</w:t>
            </w:r>
          </w:p>
        </w:tc>
        <w:tc>
          <w:tcPr>
            <w:tcW w:w="1336" w:type="dxa"/>
          </w:tcPr>
          <w:p w:rsidR="00C45EE4" w:rsidRDefault="00C45EE4" w:rsidP="00CE6C07">
            <w:r>
              <w:t>Perfect 5</w:t>
            </w:r>
            <w:r>
              <w:rPr>
                <w:vertAlign w:val="superscript"/>
              </w:rPr>
              <w:t>th</w:t>
            </w:r>
          </w:p>
        </w:tc>
        <w:tc>
          <w:tcPr>
            <w:tcW w:w="1220" w:type="dxa"/>
          </w:tcPr>
          <w:p w:rsidR="00C45EE4" w:rsidRDefault="00C45EE4" w:rsidP="00CE6C07">
            <w:r>
              <w:t>minor 7th</w:t>
            </w:r>
          </w:p>
        </w:tc>
        <w:tc>
          <w:tcPr>
            <w:tcW w:w="1593" w:type="dxa"/>
          </w:tcPr>
          <w:p w:rsidR="00C45EE4" w:rsidRDefault="00C45EE4" w:rsidP="00CE6C07">
            <w:r>
              <w:t xml:space="preserve">   7</w:t>
            </w:r>
          </w:p>
        </w:tc>
        <w:tc>
          <w:tcPr>
            <w:tcW w:w="921" w:type="dxa"/>
          </w:tcPr>
          <w:p w:rsidR="00C45EE4" w:rsidRDefault="00C45EE4" w:rsidP="00CE6C07">
            <w:r>
              <w:t>5 or V</w:t>
            </w:r>
          </w:p>
        </w:tc>
      </w:tr>
    </w:tbl>
    <w:p w:rsidR="00C45EE4" w:rsidRDefault="00C45EE4" w:rsidP="00C45EE4"/>
    <w:p w:rsidR="00C45EE4" w:rsidRDefault="00C45EE4" w:rsidP="00C45EE4">
      <w:r>
        <w:t>It is the only chord that includes the Augmented 4</w:t>
      </w:r>
      <w:r>
        <w:rPr>
          <w:vertAlign w:val="superscript"/>
        </w:rPr>
        <w:t>th</w:t>
      </w:r>
      <w:r>
        <w:t xml:space="preserve"> between notes 4 (Subdominant) and 7 (Leading Note- raised in a minor key). </w:t>
      </w:r>
    </w:p>
    <w:p w:rsidR="00C45EE4" w:rsidRDefault="00C45EE4" w:rsidP="00C45EE4"/>
    <w:p w:rsidR="00C45EE4" w:rsidRDefault="00C45EE4" w:rsidP="00C45EE4">
      <w:r>
        <w:rPr>
          <w:noProof/>
          <w:sz w:val="20"/>
        </w:rPr>
        <w:pict>
          <v:line id="_x0000_s1028" style="position:absolute;z-index:251662336" from="315pt,5.2pt" to="315pt,14.2pt"/>
        </w:pict>
      </w:r>
      <w:r>
        <w:rPr>
          <w:noProof/>
          <w:sz w:val="20"/>
        </w:rPr>
        <w:pict>
          <v:line id="_x0000_s1027" style="position:absolute;z-index:251661312" from="162pt,5.2pt" to="162pt,14.2pt"/>
        </w:pict>
      </w:r>
      <w:r>
        <w:rPr>
          <w:noProof/>
          <w:sz w:val="20"/>
        </w:rPr>
        <w:pict>
          <v:line id="_x0000_s1026" style="position:absolute;z-index:251660288" from="162pt,5.2pt" to="315pt,5.2pt"/>
        </w:pict>
      </w:r>
      <w:r>
        <w:rPr>
          <w:noProof/>
        </w:rPr>
        <w:drawing>
          <wp:inline distT="0" distB="0" distL="0" distR="0">
            <wp:extent cx="5267325" cy="733425"/>
            <wp:effectExtent l="19050" t="0" r="9525" b="0"/>
            <wp:docPr id="1" name="Picture 1" descr="Scale Degree Names 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e Degree Names Maj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E4" w:rsidRDefault="00C45EE4" w:rsidP="00C45EE4"/>
    <w:p w:rsidR="00C45EE4" w:rsidRDefault="00C45EE4" w:rsidP="00C45EE4"/>
    <w:p w:rsidR="00C45EE4" w:rsidRDefault="00C45EE4" w:rsidP="00C45EE4">
      <w:r>
        <w:rPr>
          <w:noProof/>
          <w:sz w:val="20"/>
        </w:rPr>
        <w:pict>
          <v:line id="_x0000_s1031" style="position:absolute;z-index:251665408" from="315pt,.8pt" to="315pt,9.8pt"/>
        </w:pict>
      </w:r>
      <w:r>
        <w:rPr>
          <w:noProof/>
          <w:sz w:val="20"/>
        </w:rPr>
        <w:pict>
          <v:line id="_x0000_s1030" style="position:absolute;z-index:251664384" from="162pt,.8pt" to="162pt,9.8pt"/>
        </w:pict>
      </w:r>
      <w:r>
        <w:rPr>
          <w:noProof/>
          <w:sz w:val="20"/>
        </w:rPr>
        <w:pict>
          <v:line id="_x0000_s1029" style="position:absolute;z-index:251663360" from="162pt,.8pt" to="315pt,.8pt"/>
        </w:pict>
      </w:r>
      <w:r>
        <w:rPr>
          <w:noProof/>
        </w:rPr>
        <w:drawing>
          <wp:inline distT="0" distB="0" distL="0" distR="0">
            <wp:extent cx="5267325" cy="733425"/>
            <wp:effectExtent l="19050" t="0" r="9525" b="0"/>
            <wp:docPr id="2" name="Picture 2" descr="Scale Degree Names 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e Degree Names m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E4" w:rsidRDefault="00C45EE4" w:rsidP="00C45EE4"/>
    <w:p w:rsidR="00C45EE4" w:rsidRDefault="00C45EE4" w:rsidP="00C45EE4">
      <w:r>
        <w:t xml:space="preserve">It is this </w:t>
      </w:r>
      <w:r>
        <w:rPr>
          <w:b/>
          <w:bCs/>
        </w:rPr>
        <w:t>Augmented 4</w:t>
      </w:r>
      <w:r>
        <w:rPr>
          <w:b/>
          <w:bCs/>
          <w:vertAlign w:val="superscript"/>
        </w:rPr>
        <w:t>th</w:t>
      </w:r>
      <w:r>
        <w:t xml:space="preserve"> that makes the chord sound unstable and in need of resolution. This interval is also known as a </w:t>
      </w:r>
      <w:proofErr w:type="spellStart"/>
      <w:r>
        <w:rPr>
          <w:b/>
          <w:bCs/>
        </w:rPr>
        <w:t>Tritone</w:t>
      </w:r>
      <w:proofErr w:type="spellEnd"/>
      <w:r>
        <w:t xml:space="preserve"> (3 tones) it is half of the octave distance of 6 semitones. It is a </w:t>
      </w:r>
      <w:r>
        <w:rPr>
          <w:b/>
          <w:bCs/>
        </w:rPr>
        <w:t>Diminished 5</w:t>
      </w:r>
      <w:r>
        <w:rPr>
          <w:b/>
          <w:bCs/>
          <w:vertAlign w:val="superscript"/>
        </w:rPr>
        <w:t>th</w:t>
      </w:r>
      <w:r>
        <w:t xml:space="preserve"> when inverted.</w:t>
      </w:r>
    </w:p>
    <w:p w:rsidR="00C45EE4" w:rsidRDefault="00C45EE4" w:rsidP="00C45EE4"/>
    <w:tbl>
      <w:tblPr>
        <w:tblW w:w="0" w:type="auto"/>
        <w:tblLook w:val="0000"/>
      </w:tblPr>
      <w:tblGrid>
        <w:gridCol w:w="4261"/>
        <w:gridCol w:w="4261"/>
      </w:tblGrid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C45EE4" w:rsidRDefault="00C45EE4" w:rsidP="00CE6C07">
            <w:r>
              <w:object w:dxaOrig="795" w:dyaOrig="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47.25pt" o:ole="">
                  <v:imagedata r:id="rId6" o:title=""/>
                </v:shape>
                <o:OLEObject Type="Embed" ProgID="Package" ShapeID="_x0000_i1025" DrawAspect="Content" ObjectID="_1840623866" r:id="rId7"/>
              </w:object>
            </w:r>
            <w:r>
              <w:rPr>
                <w:noProof/>
              </w:rPr>
              <w:drawing>
                <wp:inline distT="0" distB="0" distL="0" distR="0">
                  <wp:extent cx="1666875" cy="762000"/>
                  <wp:effectExtent l="19050" t="0" r="9525" b="0"/>
                  <wp:docPr id="4" name="Picture 4" descr="Tritone Aug 4th S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itone Aug 4th S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45EE4" w:rsidRDefault="00C45EE4" w:rsidP="00CE6C07">
            <w:r>
              <w:object w:dxaOrig="795" w:dyaOrig="952">
                <v:shape id="_x0000_i1026" type="#_x0000_t75" style="width:39.75pt;height:47.25pt" o:ole="">
                  <v:imagedata r:id="rId9" o:title=""/>
                </v:shape>
                <o:OLEObject Type="Embed" ProgID="Package" ShapeID="_x0000_i1026" DrawAspect="Content" ObjectID="_1840623867" r:id="rId10"/>
              </w:object>
            </w:r>
            <w:r>
              <w:rPr>
                <w:noProof/>
              </w:rPr>
              <w:drawing>
                <wp:inline distT="0" distB="0" distL="0" distR="0">
                  <wp:extent cx="1666875" cy="895350"/>
                  <wp:effectExtent l="19050" t="0" r="9525" b="0"/>
                  <wp:docPr id="6" name="Picture 6" descr="Tri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ri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EE4" w:rsidRDefault="00C45EE4" w:rsidP="00C45EE4"/>
    <w:p w:rsidR="00C45EE4" w:rsidRDefault="00C45EE4" w:rsidP="00C45EE4">
      <w:r>
        <w:t xml:space="preserve">The resolution of the </w:t>
      </w:r>
      <w:proofErr w:type="spellStart"/>
      <w:r>
        <w:t>Tritone</w:t>
      </w:r>
      <w:proofErr w:type="spellEnd"/>
      <w:r>
        <w:t xml:space="preserve"> will always be by semitone steps in contrary motion.</w:t>
      </w:r>
    </w:p>
    <w:p w:rsidR="00C45EE4" w:rsidRDefault="00C45EE4" w:rsidP="00C45EE4"/>
    <w:tbl>
      <w:tblPr>
        <w:tblW w:w="0" w:type="auto"/>
        <w:tblLook w:val="0000"/>
      </w:tblPr>
      <w:tblGrid>
        <w:gridCol w:w="4261"/>
        <w:gridCol w:w="4261"/>
      </w:tblGrid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4261" w:type="dxa"/>
          </w:tcPr>
          <w:p w:rsidR="00C45EE4" w:rsidRDefault="00C45EE4" w:rsidP="00CE6C07">
            <w:r>
              <w:object w:dxaOrig="795" w:dyaOrig="952">
                <v:shape id="_x0000_i1027" type="#_x0000_t75" style="width:39.75pt;height:47.25pt" o:ole="">
                  <v:imagedata r:id="rId12" o:title=""/>
                </v:shape>
                <o:OLEObject Type="Embed" ProgID="Package" ShapeID="_x0000_i1027" DrawAspect="Content" ObjectID="_1840623868" r:id="rId13"/>
              </w:object>
            </w:r>
            <w:r>
              <w:rPr>
                <w:noProof/>
              </w:rPr>
              <w:drawing>
                <wp:inline distT="0" distB="0" distL="0" distR="0">
                  <wp:extent cx="1666875" cy="762000"/>
                  <wp:effectExtent l="19050" t="0" r="9525" b="0"/>
                  <wp:docPr id="8" name="Picture 8" descr="Aug 4th to Tonic 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ug 4th to Tonic 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45EE4" w:rsidRDefault="00C45EE4" w:rsidP="00CE6C07">
            <w:r>
              <w:object w:dxaOrig="795" w:dyaOrig="952">
                <v:shape id="_x0000_i1028" type="#_x0000_t75" style="width:39.75pt;height:47.25pt" o:ole="">
                  <v:imagedata r:id="rId15" o:title=""/>
                </v:shape>
                <o:OLEObject Type="Embed" ProgID="Package" ShapeID="_x0000_i1028" DrawAspect="Content" ObjectID="_1840623869" r:id="rId16"/>
              </w:object>
            </w:r>
            <w:r>
              <w:rPr>
                <w:noProof/>
              </w:rPr>
              <w:drawing>
                <wp:inline distT="0" distB="0" distL="0" distR="0">
                  <wp:extent cx="1666875" cy="762000"/>
                  <wp:effectExtent l="19050" t="0" r="9525" b="0"/>
                  <wp:docPr id="10" name="Picture 10" descr="Dim 5th to Tonic 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m 5th to Tonic 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EE4" w:rsidRDefault="00C45EE4" w:rsidP="00C45EE4"/>
    <w:p w:rsidR="00C45EE4" w:rsidRDefault="00C45EE4" w:rsidP="00C45EE4">
      <w:r>
        <w:t>The dominant 7</w:t>
      </w:r>
      <w:r>
        <w:rPr>
          <w:vertAlign w:val="superscript"/>
        </w:rPr>
        <w:t>th</w:t>
      </w:r>
      <w:r>
        <w:t xml:space="preserve"> chord resolves onto a chord that contains the Tonic and 3</w:t>
      </w:r>
      <w:r>
        <w:rPr>
          <w:vertAlign w:val="superscript"/>
        </w:rPr>
        <w:t>rd</w:t>
      </w:r>
      <w:r>
        <w:t xml:space="preserve"> of the key. These notes belong to both the Tonic and the Submediant chords. If the Tonic chord is used a Perfect (5 – 1) cadence is created. If the Submediant follows the Dominant then an Interrupted (5 – 6) cadence is formed.</w:t>
      </w:r>
    </w:p>
    <w:p w:rsidR="00C45EE4" w:rsidRDefault="00C45EE4" w:rsidP="00C45EE4">
      <w:pPr>
        <w:rPr>
          <w:b/>
          <w:bCs/>
        </w:rPr>
      </w:pPr>
      <w:r>
        <w:t>To imply a Dominant 7</w:t>
      </w:r>
      <w:r>
        <w:rPr>
          <w:vertAlign w:val="superscript"/>
        </w:rPr>
        <w:t>th</w:t>
      </w:r>
      <w:r>
        <w:t xml:space="preserve"> chord only the notes making the </w:t>
      </w:r>
      <w:proofErr w:type="spellStart"/>
      <w:r>
        <w:t>Tritone</w:t>
      </w:r>
      <w:proofErr w:type="spellEnd"/>
      <w:r>
        <w:t xml:space="preserve"> are required. This is useful in two part writing.</w:t>
      </w:r>
    </w:p>
    <w:p w:rsidR="00C45EE4" w:rsidRDefault="00C45EE4" w:rsidP="00C45EE4">
      <w:pPr>
        <w:rPr>
          <w:b/>
          <w:bCs/>
        </w:rPr>
      </w:pPr>
      <w:proofErr w:type="gramStart"/>
      <w:r>
        <w:rPr>
          <w:b/>
          <w:bCs/>
        </w:rPr>
        <w:t>Using the Dominant 7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in Traditional Harmony.</w:t>
      </w:r>
      <w:proofErr w:type="gramEnd"/>
    </w:p>
    <w:p w:rsidR="00C45EE4" w:rsidRDefault="00C45EE4" w:rsidP="00C45EE4">
      <w:r>
        <w:t>This is a 4-note chord so no doubling is required still the 5</w:t>
      </w:r>
      <w:r>
        <w:rPr>
          <w:vertAlign w:val="superscript"/>
        </w:rPr>
        <w:t>th</w:t>
      </w:r>
      <w:r>
        <w:t xml:space="preserve"> could be omitted and the Root note doubled if necessary. </w:t>
      </w:r>
    </w:p>
    <w:p w:rsidR="00C45EE4" w:rsidRDefault="00C45EE4" w:rsidP="00C45EE4">
      <w:r>
        <w:t xml:space="preserve">This chord has a ‘powerful engine’ (discussed above), the </w:t>
      </w:r>
      <w:proofErr w:type="spellStart"/>
      <w:r>
        <w:t>Tritone</w:t>
      </w:r>
      <w:proofErr w:type="spellEnd"/>
      <w:r>
        <w:t xml:space="preserve"> between the subdominant and the leading note of the scale, the 3</w:t>
      </w:r>
      <w:r>
        <w:rPr>
          <w:vertAlign w:val="superscript"/>
        </w:rPr>
        <w:t>rd</w:t>
      </w:r>
      <w:r>
        <w:t xml:space="preserve"> and 7</w:t>
      </w:r>
      <w:r>
        <w:rPr>
          <w:vertAlign w:val="superscript"/>
        </w:rPr>
        <w:t>th</w:t>
      </w:r>
      <w:r>
        <w:t xml:space="preserve"> of this chord. The subdominant falls to the </w:t>
      </w:r>
      <w:proofErr w:type="spellStart"/>
      <w:r>
        <w:t>mediant</w:t>
      </w:r>
      <w:proofErr w:type="spellEnd"/>
      <w:r>
        <w:t xml:space="preserve"> and the leading note rises to the tonic.</w:t>
      </w:r>
    </w:p>
    <w:p w:rsidR="00C45EE4" w:rsidRDefault="00C45EE4" w:rsidP="00C45EE4">
      <w:r>
        <w:t>It is built on the Dominant triad (Major in both Major and minor keys) with an added minor 7</w:t>
      </w:r>
      <w:r>
        <w:rPr>
          <w:vertAlign w:val="superscript"/>
        </w:rPr>
        <w:t>th</w:t>
      </w:r>
      <w:r>
        <w:t xml:space="preserve">. It is the only chord of its kind in any given key. </w:t>
      </w:r>
    </w:p>
    <w:p w:rsidR="00C45EE4" w:rsidRDefault="00C45EE4" w:rsidP="00C45EE4">
      <w:r>
        <w:t>It is best not to overuse the Dominant 7</w:t>
      </w:r>
      <w:r>
        <w:rPr>
          <w:vertAlign w:val="superscript"/>
        </w:rPr>
        <w:t>th</w:t>
      </w:r>
      <w:r>
        <w:t xml:space="preserve"> within one harmony exercise. The best places to use the chord are at the beginning to </w:t>
      </w:r>
      <w:proofErr w:type="spellStart"/>
      <w:r>
        <w:t>harmonise</w:t>
      </w:r>
      <w:proofErr w:type="spellEnd"/>
      <w:r>
        <w:t xml:space="preserve"> the anacrusis and in the final Perfect cadence. Both will be completed in this manner:-</w:t>
      </w:r>
    </w:p>
    <w:p w:rsidR="00C45EE4" w:rsidRDefault="00C45EE4" w:rsidP="00C45EE4"/>
    <w:tbl>
      <w:tblPr>
        <w:tblW w:w="9356" w:type="dxa"/>
        <w:tblLayout w:type="fixed"/>
        <w:tblLook w:val="0000"/>
      </w:tblPr>
      <w:tblGrid>
        <w:gridCol w:w="4608"/>
        <w:gridCol w:w="4748"/>
      </w:tblGrid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C45EE4" w:rsidRDefault="00C45EE4" w:rsidP="00CE6C07">
            <w:r>
              <w:rPr>
                <w:noProof/>
              </w:rPr>
              <w:lastRenderedPageBreak/>
              <w:drawing>
                <wp:inline distT="0" distB="0" distL="0" distR="0">
                  <wp:extent cx="2828925" cy="1266825"/>
                  <wp:effectExtent l="19050" t="0" r="9525" b="0"/>
                  <wp:docPr id="11" name="Picture 11" descr="Dom 7t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m 7t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EE4" w:rsidRDefault="00C45EE4" w:rsidP="00CE6C07">
            <w:r>
              <w:object w:dxaOrig="795" w:dyaOrig="952">
                <v:shape id="_x0000_i1029" type="#_x0000_t75" style="width:39.75pt;height:47.25pt" o:ole="">
                  <v:imagedata r:id="rId19" o:title=""/>
                </v:shape>
                <o:OLEObject Type="Embed" ProgID="Package" ShapeID="_x0000_i1029" DrawAspect="Content" ObjectID="_1840623870" r:id="rId20"/>
              </w:object>
            </w:r>
          </w:p>
        </w:tc>
        <w:tc>
          <w:tcPr>
            <w:tcW w:w="4748" w:type="dxa"/>
          </w:tcPr>
          <w:p w:rsidR="00C45EE4" w:rsidRDefault="00C45EE4" w:rsidP="00CE6C07">
            <w:r>
              <w:rPr>
                <w:noProof/>
              </w:rPr>
              <w:drawing>
                <wp:inline distT="0" distB="0" distL="0" distR="0">
                  <wp:extent cx="2828925" cy="1266825"/>
                  <wp:effectExtent l="19050" t="0" r="9525" b="0"/>
                  <wp:docPr id="13" name="Picture 13" descr="Dom 7t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m 7th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EE4" w:rsidRDefault="00C45EE4" w:rsidP="00CE6C07">
            <w:r>
              <w:object w:dxaOrig="795" w:dyaOrig="952">
                <v:shape id="_x0000_i1030" type="#_x0000_t75" style="width:39.75pt;height:47.25pt" o:ole="">
                  <v:imagedata r:id="rId22" o:title=""/>
                </v:shape>
                <o:OLEObject Type="Embed" ProgID="Package" ShapeID="_x0000_i1030" DrawAspect="Content" ObjectID="_1840623871" r:id="rId23"/>
              </w:object>
            </w:r>
          </w:p>
        </w:tc>
      </w:tr>
    </w:tbl>
    <w:p w:rsidR="00C45EE4" w:rsidRDefault="00C45EE4" w:rsidP="00C45EE4"/>
    <w:p w:rsidR="00C45EE4" w:rsidRDefault="00C45EE4" w:rsidP="00C45EE4"/>
    <w:tbl>
      <w:tblPr>
        <w:tblW w:w="10316" w:type="dxa"/>
        <w:tblLayout w:type="fixed"/>
        <w:tblLook w:val="0000"/>
      </w:tblPr>
      <w:tblGrid>
        <w:gridCol w:w="4608"/>
        <w:gridCol w:w="5708"/>
      </w:tblGrid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C45EE4" w:rsidRDefault="00C45EE4" w:rsidP="00CE6C07">
            <w:r>
              <w:rPr>
                <w:noProof/>
              </w:rPr>
              <w:drawing>
                <wp:inline distT="0" distB="0" distL="0" distR="0">
                  <wp:extent cx="2828925" cy="1266825"/>
                  <wp:effectExtent l="19050" t="0" r="9525" b="0"/>
                  <wp:docPr id="15" name="Picture 15" descr="Dom 7t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m 7th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EE4" w:rsidRDefault="00C45EE4" w:rsidP="00CE6C07">
            <w:r>
              <w:object w:dxaOrig="795" w:dyaOrig="952">
                <v:shape id="_x0000_i1031" type="#_x0000_t75" style="width:39.75pt;height:47.25pt" o:ole="">
                  <v:imagedata r:id="rId25" o:title=""/>
                </v:shape>
                <o:OLEObject Type="Embed" ProgID="Package" ShapeID="_x0000_i1031" DrawAspect="Content" ObjectID="_1840623872" r:id="rId26"/>
              </w:object>
            </w:r>
          </w:p>
        </w:tc>
        <w:tc>
          <w:tcPr>
            <w:tcW w:w="5708" w:type="dxa"/>
          </w:tcPr>
          <w:p w:rsidR="00C45EE4" w:rsidRDefault="00C45EE4" w:rsidP="00CE6C07">
            <w:r>
              <w:rPr>
                <w:noProof/>
              </w:rPr>
              <w:drawing>
                <wp:inline distT="0" distB="0" distL="0" distR="0">
                  <wp:extent cx="2828925" cy="1266825"/>
                  <wp:effectExtent l="19050" t="0" r="9525" b="0"/>
                  <wp:docPr id="17" name="Picture 17" descr="Dom 7t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m 7th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EE4" w:rsidRDefault="00C45EE4" w:rsidP="00CE6C07">
            <w:r>
              <w:object w:dxaOrig="795" w:dyaOrig="952">
                <v:shape id="_x0000_i1032" type="#_x0000_t75" style="width:39.75pt;height:47.25pt" o:ole="">
                  <v:imagedata r:id="rId28" o:title=""/>
                </v:shape>
                <o:OLEObject Type="Embed" ProgID="Package" ShapeID="_x0000_i1032" DrawAspect="Content" ObjectID="_1840623873" r:id="rId29"/>
              </w:object>
            </w:r>
          </w:p>
        </w:tc>
      </w:tr>
      <w:tr w:rsidR="00C45EE4" w:rsidTr="00CE6C07">
        <w:tblPrEx>
          <w:tblCellMar>
            <w:top w:w="0" w:type="dxa"/>
            <w:bottom w:w="0" w:type="dxa"/>
          </w:tblCellMar>
        </w:tblPrEx>
        <w:tc>
          <w:tcPr>
            <w:tcW w:w="4608" w:type="dxa"/>
          </w:tcPr>
          <w:p w:rsidR="00C45EE4" w:rsidRDefault="00C45EE4" w:rsidP="00CE6C07">
            <w:r>
              <w:rPr>
                <w:noProof/>
              </w:rPr>
              <w:drawing>
                <wp:inline distT="0" distB="0" distL="0" distR="0">
                  <wp:extent cx="2828925" cy="1266825"/>
                  <wp:effectExtent l="19050" t="0" r="9525" b="0"/>
                  <wp:docPr id="19" name="Picture 19" descr="Dom 7t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m 7t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EE4" w:rsidRDefault="00C45EE4" w:rsidP="00CE6C07">
            <w:r>
              <w:object w:dxaOrig="795" w:dyaOrig="952">
                <v:shape id="_x0000_i1033" type="#_x0000_t75" style="width:39.75pt;height:47.25pt" o:ole="">
                  <v:imagedata r:id="rId31" o:title=""/>
                </v:shape>
                <o:OLEObject Type="Embed" ProgID="Package" ShapeID="_x0000_i1033" DrawAspect="Content" ObjectID="_1840623874" r:id="rId32"/>
              </w:object>
            </w:r>
          </w:p>
        </w:tc>
        <w:tc>
          <w:tcPr>
            <w:tcW w:w="5708" w:type="dxa"/>
          </w:tcPr>
          <w:p w:rsidR="00C45EE4" w:rsidRDefault="00C45EE4" w:rsidP="00CE6C07">
            <w:r>
              <w:rPr>
                <w:noProof/>
              </w:rPr>
              <w:drawing>
                <wp:inline distT="0" distB="0" distL="0" distR="0">
                  <wp:extent cx="2828925" cy="1266825"/>
                  <wp:effectExtent l="19050" t="0" r="9525" b="0"/>
                  <wp:docPr id="21" name="Picture 21" descr="Dom 7t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m 7th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EE4" w:rsidRDefault="00C45EE4" w:rsidP="00CE6C07">
            <w:r>
              <w:object w:dxaOrig="795" w:dyaOrig="952">
                <v:shape id="_x0000_i1034" type="#_x0000_t75" style="width:39.75pt;height:47.25pt" o:ole="">
                  <v:imagedata r:id="rId34" o:title=""/>
                </v:shape>
                <o:OLEObject Type="Embed" ProgID="Package" ShapeID="_x0000_i1034" DrawAspect="Content" ObjectID="_1840623875" r:id="rId35"/>
              </w:object>
            </w:r>
          </w:p>
        </w:tc>
      </w:tr>
    </w:tbl>
    <w:p w:rsidR="00C45EE4" w:rsidRDefault="00C45EE4" w:rsidP="00C45EE4"/>
    <w:p w:rsidR="00C45EE4" w:rsidRDefault="00C45EE4" w:rsidP="00C45EE4">
      <w:r>
        <w:t>Notice that the Dominant 7</w:t>
      </w:r>
      <w:r>
        <w:rPr>
          <w:vertAlign w:val="superscript"/>
        </w:rPr>
        <w:t>th</w:t>
      </w:r>
      <w:r>
        <w:t xml:space="preserve"> chord can be used freely in any inversion, and that either the Tonic or Submediant chords should follow it.</w:t>
      </w:r>
    </w:p>
    <w:p w:rsidR="00C45EE4" w:rsidRDefault="00C45EE4" w:rsidP="00C45EE4"/>
    <w:p w:rsidR="00C45EE4" w:rsidRDefault="00C45EE4" w:rsidP="00C45EE4">
      <w:r>
        <w:lastRenderedPageBreak/>
        <w:t xml:space="preserve">Scale Degrees – Required voice leading </w:t>
      </w:r>
    </w:p>
    <w:p w:rsidR="00C45EE4" w:rsidRDefault="00C45EE4" w:rsidP="00C45EE4">
      <w:r>
        <w:t>4 to 3</w:t>
      </w:r>
    </w:p>
    <w:p w:rsidR="00C45EE4" w:rsidRDefault="00C45EE4" w:rsidP="00C45EE4">
      <w:r>
        <w:t>7 to 1</w:t>
      </w:r>
    </w:p>
    <w:p w:rsidR="00C45EE4" w:rsidRDefault="00C45EE4" w:rsidP="00C45EE4">
      <w:proofErr w:type="gramStart"/>
      <w:r>
        <w:t>on</w:t>
      </w:r>
      <w:proofErr w:type="gramEnd"/>
      <w:r>
        <w:t xml:space="preserve"> every use.</w:t>
      </w:r>
    </w:p>
    <w:p w:rsidR="00C45EE4" w:rsidRDefault="00C45EE4" w:rsidP="00C45EE4"/>
    <w:p w:rsidR="00C45EE4" w:rsidRDefault="00C45EE4" w:rsidP="00C45EE4">
      <w:r>
        <w:t>When the Dominant 7</w:t>
      </w:r>
      <w:r>
        <w:rPr>
          <w:vertAlign w:val="superscript"/>
        </w:rPr>
        <w:t>th</w:t>
      </w:r>
      <w:r>
        <w:t xml:space="preserve"> chord uses all 4 pitches then the following tonic may only require the Root tripled and the 3</w:t>
      </w:r>
      <w:r>
        <w:rPr>
          <w:vertAlign w:val="superscript"/>
        </w:rPr>
        <w:t>rd</w:t>
      </w:r>
      <w:r>
        <w:t>. The reverse is sometimes required</w:t>
      </w:r>
      <w:proofErr w:type="gramStart"/>
      <w:r>
        <w:t>:-</w:t>
      </w:r>
      <w:proofErr w:type="gramEnd"/>
      <w:r>
        <w:t xml:space="preserve"> A complete Tonic chord (with root, 3</w:t>
      </w:r>
      <w:r>
        <w:rPr>
          <w:vertAlign w:val="superscript"/>
        </w:rPr>
        <w:t>rd</w:t>
      </w:r>
      <w:r>
        <w:t xml:space="preserve"> &amp; 5</w:t>
      </w:r>
      <w:r>
        <w:rPr>
          <w:vertAlign w:val="superscript"/>
        </w:rPr>
        <w:t>th</w:t>
      </w:r>
      <w:r>
        <w:t>) may need an incomplete Dominant 7</w:t>
      </w:r>
      <w:r>
        <w:rPr>
          <w:vertAlign w:val="superscript"/>
        </w:rPr>
        <w:t>th</w:t>
      </w:r>
      <w:r>
        <w:t xml:space="preserve"> chord preceding it. The 5</w:t>
      </w:r>
      <w:r>
        <w:rPr>
          <w:vertAlign w:val="superscript"/>
        </w:rPr>
        <w:t>th</w:t>
      </w:r>
      <w:r>
        <w:t xml:space="preserve"> of the Dominant 7</w:t>
      </w:r>
      <w:r>
        <w:rPr>
          <w:vertAlign w:val="superscript"/>
        </w:rPr>
        <w:t>th</w:t>
      </w:r>
      <w:r>
        <w:t xml:space="preserve"> is the one to omit.</w:t>
      </w:r>
    </w:p>
    <w:p w:rsidR="00C45EE4" w:rsidRDefault="00C45EE4" w:rsidP="00C45EE4">
      <w:r>
        <w:t>SO:-</w:t>
      </w:r>
    </w:p>
    <w:p w:rsidR="00C45EE4" w:rsidRDefault="00C45EE4" w:rsidP="00C45EE4">
      <w:r>
        <w:t xml:space="preserve">Incomplete Dominant </w:t>
      </w:r>
      <w:proofErr w:type="gramStart"/>
      <w:r>
        <w:t>7</w:t>
      </w:r>
      <w:r>
        <w:rPr>
          <w:vertAlign w:val="superscript"/>
        </w:rPr>
        <w:t xml:space="preserve">th </w:t>
      </w:r>
      <w:r>
        <w:t xml:space="preserve"> (</w:t>
      </w:r>
      <w:proofErr w:type="gramEnd"/>
      <w:r>
        <w:t>omit the 5</w:t>
      </w:r>
      <w:r>
        <w:rPr>
          <w:vertAlign w:val="superscript"/>
        </w:rPr>
        <w:t>th</w:t>
      </w:r>
      <w:r>
        <w:t>)</w:t>
      </w:r>
      <w:r>
        <w:tab/>
        <w:t>resolves to a Complete Tonic</w:t>
      </w:r>
    </w:p>
    <w:p w:rsidR="00C45EE4" w:rsidRDefault="00C45EE4" w:rsidP="00C45EE4">
      <w:r>
        <w:t>Complete Dominant 7</w:t>
      </w:r>
      <w:r>
        <w:rPr>
          <w:vertAlign w:val="superscript"/>
        </w:rPr>
        <w:t>th</w:t>
      </w:r>
      <w:r>
        <w:tab/>
        <w:t>resolves to an</w:t>
      </w:r>
      <w:r>
        <w:tab/>
        <w:t>Incomplete Tonic (Omit the 5</w:t>
      </w:r>
      <w:r>
        <w:rPr>
          <w:vertAlign w:val="superscript"/>
        </w:rPr>
        <w:t>th</w:t>
      </w:r>
      <w:r>
        <w:t>)</w:t>
      </w:r>
    </w:p>
    <w:p w:rsidR="00C45EE4" w:rsidRDefault="00C45EE4"/>
    <w:sectPr w:rsidR="00C45EE4" w:rsidSect="00E34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5EE4"/>
    <w:rsid w:val="00C45EE4"/>
    <w:rsid w:val="00E3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1.png"/><Relationship Id="rId26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2.wmf"/><Relationship Id="rId7" Type="http://schemas.openxmlformats.org/officeDocument/2006/relationships/oleObject" Target="embeddings/oleObject1.bin"/><Relationship Id="rId12" Type="http://schemas.openxmlformats.org/officeDocument/2006/relationships/image" Target="media/image7.wmf"/><Relationship Id="rId17" Type="http://schemas.openxmlformats.org/officeDocument/2006/relationships/image" Target="media/image10.png"/><Relationship Id="rId25" Type="http://schemas.openxmlformats.org/officeDocument/2006/relationships/image" Target="media/image16.wmf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oleObject" Target="embeddings/oleObject9.bin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wmf"/><Relationship Id="rId23" Type="http://schemas.openxmlformats.org/officeDocument/2006/relationships/oleObject" Target="embeddings/oleObject6.bin"/><Relationship Id="rId28" Type="http://schemas.openxmlformats.org/officeDocument/2006/relationships/image" Target="media/image18.wmf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wmf"/><Relationship Id="rId31" Type="http://schemas.openxmlformats.org/officeDocument/2006/relationships/image" Target="media/image20.wmf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image" Target="media/image8.png"/><Relationship Id="rId22" Type="http://schemas.openxmlformats.org/officeDocument/2006/relationships/image" Target="media/image14.wmf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1</cp:revision>
  <dcterms:created xsi:type="dcterms:W3CDTF">2026-05-18T05:57:00Z</dcterms:created>
  <dcterms:modified xsi:type="dcterms:W3CDTF">2026-05-18T06:07:00Z</dcterms:modified>
</cp:coreProperties>
</file>