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4267" w:rsidRDefault="00E83B33" w:rsidP="00E10163">
      <w:pPr>
        <w:pStyle w:val="Heading1"/>
      </w:pPr>
      <w:r>
        <w:t>Music Studies 2020 examination answers</w:t>
      </w:r>
    </w:p>
    <w:p w:rsidR="00E83B33" w:rsidRDefault="00E83B33">
      <w:r>
        <w:t>1.</w:t>
      </w:r>
      <w:r>
        <w:tab/>
        <w:t>(</w:t>
      </w:r>
      <w:proofErr w:type="gramStart"/>
      <w:r>
        <w:t>a</w:t>
      </w:r>
      <w:proofErr w:type="gramEnd"/>
      <w:r>
        <w:t>) 2</w:t>
      </w:r>
      <w:r w:rsidRPr="00E83B33">
        <w:rPr>
          <w:vertAlign w:val="superscript"/>
        </w:rPr>
        <w:t>nd</w:t>
      </w:r>
      <w:r>
        <w:t xml:space="preserve"> option</w:t>
      </w:r>
    </w:p>
    <w:p w:rsidR="00E83B33" w:rsidRDefault="00E83B33">
      <w:r>
        <w:tab/>
        <w:t>(b) 3</w:t>
      </w:r>
      <w:r w:rsidRPr="00E83B33">
        <w:rPr>
          <w:vertAlign w:val="superscript"/>
        </w:rPr>
        <w:t>rd</w:t>
      </w:r>
      <w:r>
        <w:t xml:space="preserve"> option (C Dorian)</w:t>
      </w:r>
    </w:p>
    <w:p w:rsidR="00E83B33" w:rsidRDefault="00E83B33">
      <w:r>
        <w:tab/>
        <w:t>(c) 4</w:t>
      </w:r>
      <w:r w:rsidRPr="00E83B33">
        <w:rPr>
          <w:vertAlign w:val="superscript"/>
        </w:rPr>
        <w:t>th</w:t>
      </w:r>
      <w:r>
        <w:t xml:space="preserve"> option (notes A C# E# G</w:t>
      </w:r>
    </w:p>
    <w:p w:rsidR="00E83B33" w:rsidRDefault="00E83B33">
      <w:r>
        <w:t xml:space="preserve">2. </w:t>
      </w:r>
      <w:r w:rsidR="00363010">
        <w:rPr>
          <w:noProof/>
          <w:lang w:eastAsia="en-AU"/>
        </w:rPr>
        <w:drawing>
          <wp:inline distT="0" distB="0" distL="0" distR="0">
            <wp:extent cx="5731510" cy="457571"/>
            <wp:effectExtent l="1905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5731510" cy="457571"/>
                    </a:xfrm>
                    <a:prstGeom prst="rect">
                      <a:avLst/>
                    </a:prstGeom>
                    <a:noFill/>
                    <a:ln w="9525">
                      <a:noFill/>
                      <a:miter lim="800000"/>
                      <a:headEnd/>
                      <a:tailEnd/>
                    </a:ln>
                  </pic:spPr>
                </pic:pic>
              </a:graphicData>
            </a:graphic>
          </wp:inline>
        </w:drawing>
      </w:r>
    </w:p>
    <w:p w:rsidR="00363010" w:rsidRDefault="00363010">
      <w:r>
        <w:t>3. (</w:t>
      </w:r>
      <w:proofErr w:type="spellStart"/>
      <w:proofErr w:type="gramStart"/>
      <w:r>
        <w:t>i</w:t>
      </w:r>
      <w:proofErr w:type="spellEnd"/>
      <w:proofErr w:type="gramEnd"/>
      <w:r>
        <w:t>) Perfect 5</w:t>
      </w:r>
      <w:r w:rsidRPr="00363010">
        <w:rPr>
          <w:vertAlign w:val="superscript"/>
        </w:rPr>
        <w:t>th</w:t>
      </w:r>
      <w:r>
        <w:t xml:space="preserve"> </w:t>
      </w:r>
    </w:p>
    <w:p w:rsidR="00363010" w:rsidRDefault="00363010" w:rsidP="00363010">
      <w:pPr>
        <w:ind w:firstLine="720"/>
      </w:pPr>
      <w:r>
        <w:t xml:space="preserve"> </w:t>
      </w:r>
      <w:r>
        <w:rPr>
          <w:noProof/>
          <w:lang w:eastAsia="en-AU"/>
        </w:rPr>
        <w:drawing>
          <wp:inline distT="0" distB="0" distL="0" distR="0">
            <wp:extent cx="1423996" cy="666045"/>
            <wp:effectExtent l="19050" t="0" r="4754"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srcRect/>
                    <a:stretch>
                      <a:fillRect/>
                    </a:stretch>
                  </pic:blipFill>
                  <pic:spPr bwMode="auto">
                    <a:xfrm>
                      <a:off x="0" y="0"/>
                      <a:ext cx="1424039" cy="666065"/>
                    </a:xfrm>
                    <a:prstGeom prst="rect">
                      <a:avLst/>
                    </a:prstGeom>
                    <a:noFill/>
                    <a:ln w="9525">
                      <a:noFill/>
                      <a:miter lim="800000"/>
                      <a:headEnd/>
                      <a:tailEnd/>
                    </a:ln>
                  </pic:spPr>
                </pic:pic>
              </a:graphicData>
            </a:graphic>
          </wp:inline>
        </w:drawing>
      </w:r>
    </w:p>
    <w:p w:rsidR="00363010" w:rsidRDefault="00363010" w:rsidP="00363010">
      <w:r>
        <w:t xml:space="preserve">   (ii) Minor 7</w:t>
      </w:r>
      <w:r w:rsidRPr="00363010">
        <w:rPr>
          <w:vertAlign w:val="superscript"/>
        </w:rPr>
        <w:t>th</w:t>
      </w:r>
      <w:r>
        <w:t xml:space="preserve"> </w:t>
      </w:r>
    </w:p>
    <w:p w:rsidR="00363010" w:rsidRDefault="00363010" w:rsidP="00363010">
      <w:r>
        <w:tab/>
      </w:r>
      <w:r w:rsidR="004F66F1">
        <w:rPr>
          <w:noProof/>
          <w:lang w:eastAsia="en-AU"/>
        </w:rPr>
        <w:drawing>
          <wp:inline distT="0" distB="0" distL="0" distR="0">
            <wp:extent cx="1488576" cy="609600"/>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cstate="print"/>
                    <a:srcRect/>
                    <a:stretch>
                      <a:fillRect/>
                    </a:stretch>
                  </pic:blipFill>
                  <pic:spPr bwMode="auto">
                    <a:xfrm>
                      <a:off x="0" y="0"/>
                      <a:ext cx="1488679" cy="609642"/>
                    </a:xfrm>
                    <a:prstGeom prst="rect">
                      <a:avLst/>
                    </a:prstGeom>
                    <a:noFill/>
                    <a:ln w="9525">
                      <a:noFill/>
                      <a:miter lim="800000"/>
                      <a:headEnd/>
                      <a:tailEnd/>
                    </a:ln>
                  </pic:spPr>
                </pic:pic>
              </a:graphicData>
            </a:graphic>
          </wp:inline>
        </w:drawing>
      </w:r>
    </w:p>
    <w:p w:rsidR="004F66F1" w:rsidRDefault="004F66F1" w:rsidP="00363010">
      <w:r>
        <w:t>4. (</w:t>
      </w:r>
      <w:proofErr w:type="gramStart"/>
      <w:r>
        <w:t>a</w:t>
      </w:r>
      <w:proofErr w:type="gramEnd"/>
      <w:r>
        <w:t xml:space="preserve">) Option 1. </w:t>
      </w:r>
    </w:p>
    <w:p w:rsidR="004F66F1" w:rsidRDefault="004F66F1" w:rsidP="00363010">
      <w:r>
        <w:t xml:space="preserve">   (b) Option 3.</w:t>
      </w:r>
    </w:p>
    <w:p w:rsidR="004F66F1" w:rsidRDefault="004F66F1" w:rsidP="00363010">
      <w:r>
        <w:t>5.</w:t>
      </w:r>
      <w:r w:rsidR="00CC62C8">
        <w:t xml:space="preserve"> </w:t>
      </w:r>
      <w:r w:rsidR="00CC62C8">
        <w:rPr>
          <w:noProof/>
          <w:lang w:eastAsia="en-AU"/>
        </w:rPr>
        <w:drawing>
          <wp:inline distT="0" distB="0" distL="0" distR="0">
            <wp:extent cx="5731510" cy="638232"/>
            <wp:effectExtent l="19050" t="0" r="254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cstate="print"/>
                    <a:srcRect/>
                    <a:stretch>
                      <a:fillRect/>
                    </a:stretch>
                  </pic:blipFill>
                  <pic:spPr bwMode="auto">
                    <a:xfrm>
                      <a:off x="0" y="0"/>
                      <a:ext cx="5731510" cy="638232"/>
                    </a:xfrm>
                    <a:prstGeom prst="rect">
                      <a:avLst/>
                    </a:prstGeom>
                    <a:noFill/>
                    <a:ln w="9525">
                      <a:noFill/>
                      <a:miter lim="800000"/>
                      <a:headEnd/>
                      <a:tailEnd/>
                    </a:ln>
                  </pic:spPr>
                </pic:pic>
              </a:graphicData>
            </a:graphic>
          </wp:inline>
        </w:drawing>
      </w:r>
    </w:p>
    <w:p w:rsidR="00CC62C8" w:rsidRDefault="00CC62C8" w:rsidP="00363010">
      <w:r>
        <w:t xml:space="preserve">   (a) Plagal, IV – I</w:t>
      </w:r>
    </w:p>
    <w:p w:rsidR="00CC62C8" w:rsidRDefault="00CC62C8" w:rsidP="00363010">
      <w:r>
        <w:t xml:space="preserve">   (b) Subdominant</w:t>
      </w:r>
    </w:p>
    <w:p w:rsidR="00CC62C8" w:rsidRDefault="00CC62C8" w:rsidP="00363010">
      <w:r>
        <w:t>6. Option 4</w:t>
      </w:r>
    </w:p>
    <w:p w:rsidR="00CC62C8" w:rsidRDefault="00CC62C8" w:rsidP="00363010">
      <w:r>
        <w:t>7. Various – Suggestion only</w:t>
      </w:r>
    </w:p>
    <w:p w:rsidR="00CC62C8" w:rsidRDefault="00CC62C8" w:rsidP="00363010">
      <w:r>
        <w:rPr>
          <w:noProof/>
          <w:lang w:eastAsia="en-AU"/>
        </w:rPr>
        <w:drawing>
          <wp:inline distT="0" distB="0" distL="0" distR="0">
            <wp:extent cx="5731510" cy="1236685"/>
            <wp:effectExtent l="19050" t="0" r="254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cstate="print"/>
                    <a:srcRect/>
                    <a:stretch>
                      <a:fillRect/>
                    </a:stretch>
                  </pic:blipFill>
                  <pic:spPr bwMode="auto">
                    <a:xfrm>
                      <a:off x="0" y="0"/>
                      <a:ext cx="5731510" cy="1236685"/>
                    </a:xfrm>
                    <a:prstGeom prst="rect">
                      <a:avLst/>
                    </a:prstGeom>
                    <a:noFill/>
                    <a:ln w="9525">
                      <a:noFill/>
                      <a:miter lim="800000"/>
                      <a:headEnd/>
                      <a:tailEnd/>
                    </a:ln>
                  </pic:spPr>
                </pic:pic>
              </a:graphicData>
            </a:graphic>
          </wp:inline>
        </w:drawing>
      </w:r>
    </w:p>
    <w:p w:rsidR="00CC62C8" w:rsidRDefault="00CC62C8" w:rsidP="00363010">
      <w:r>
        <w:lastRenderedPageBreak/>
        <w:t>8. Structure</w:t>
      </w:r>
    </w:p>
    <w:p w:rsidR="00CC62C8" w:rsidRDefault="00CC62C8" w:rsidP="00CC62C8">
      <w:pPr>
        <w:ind w:left="720"/>
      </w:pPr>
      <w:r>
        <w:t>Introduction bars 1 – 4 Tonic key F major</w:t>
      </w:r>
    </w:p>
    <w:p w:rsidR="00CC62C8" w:rsidRDefault="00CC62C8" w:rsidP="00CC62C8">
      <w:pPr>
        <w:ind w:left="720"/>
      </w:pPr>
      <w:proofErr w:type="gramStart"/>
      <w:r>
        <w:t>A bars</w:t>
      </w:r>
      <w:proofErr w:type="gramEnd"/>
      <w:r>
        <w:t xml:space="preserve"> 5 – 20 divided into two parts bars 5 – 12 and bars 13 – 20</w:t>
      </w:r>
    </w:p>
    <w:p w:rsidR="00CC62C8" w:rsidRDefault="00CC62C8" w:rsidP="00CC62C8">
      <w:pPr>
        <w:ind w:left="720"/>
      </w:pPr>
      <w:r>
        <w:t>B bars 29 – 36 in F minor</w:t>
      </w:r>
    </w:p>
    <w:p w:rsidR="00CC62C8" w:rsidRDefault="00CC62C8" w:rsidP="00CC62C8">
      <w:pPr>
        <w:ind w:left="720"/>
      </w:pPr>
      <w:r>
        <w:t>A beginning with a variant of the introduction 37 – 40 in the tonic F major Bars 41 – 44 is from bars 5 – 8 with a slightly varied accompaniment.</w:t>
      </w:r>
    </w:p>
    <w:p w:rsidR="00CC62C8" w:rsidRDefault="00CC62C8" w:rsidP="00CC62C8">
      <w:pPr>
        <w:ind w:left="720"/>
      </w:pPr>
      <w:r>
        <w:t>Coda bars 45 – 51 (end)</w:t>
      </w:r>
    </w:p>
    <w:p w:rsidR="00CC62C8" w:rsidRDefault="00CC62C8" w:rsidP="00CC62C8">
      <w:r>
        <w:t xml:space="preserve">   (b) (</w:t>
      </w:r>
      <w:proofErr w:type="spellStart"/>
      <w:proofErr w:type="gramStart"/>
      <w:r>
        <w:t>i</w:t>
      </w:r>
      <w:proofErr w:type="spellEnd"/>
      <w:proofErr w:type="gramEnd"/>
      <w:r>
        <w:t>) A pause – hold for as long as you like, or as long as a conductor directs.</w:t>
      </w:r>
    </w:p>
    <w:p w:rsidR="00CC62C8" w:rsidRDefault="00CC62C8" w:rsidP="00CC62C8">
      <w:r>
        <w:t xml:space="preserve">       (ii) A triplet – the three notes are to be played in the time of two of the same value.</w:t>
      </w:r>
    </w:p>
    <w:p w:rsidR="00CC62C8" w:rsidRDefault="00CC62C8" w:rsidP="00CC62C8">
      <w:r>
        <w:t xml:space="preserve">   (c) </w:t>
      </w:r>
      <w:r w:rsidR="00DF7DF5">
        <w:t>Option 1 – Natural minor</w:t>
      </w:r>
    </w:p>
    <w:p w:rsidR="00DF7DF5" w:rsidRDefault="00DF7DF5" w:rsidP="00CC62C8">
      <w:r>
        <w:t xml:space="preserve">   (d) </w:t>
      </w:r>
      <w:r w:rsidR="00AC3619">
        <w:t>The clarinet from bar 29 – 32 sounds at the same pitch as the upper notes from the right hand of the piano at bars 33 – 36.</w:t>
      </w:r>
    </w:p>
    <w:p w:rsidR="00AC3619" w:rsidRDefault="00AC3619" w:rsidP="00CC62C8">
      <w:r>
        <w:t xml:space="preserve">   (e) (</w:t>
      </w:r>
      <w:proofErr w:type="spellStart"/>
      <w:proofErr w:type="gramStart"/>
      <w:r>
        <w:t>i</w:t>
      </w:r>
      <w:proofErr w:type="spellEnd"/>
      <w:proofErr w:type="gramEnd"/>
      <w:r>
        <w:t>) F major</w:t>
      </w:r>
    </w:p>
    <w:p w:rsidR="00AC3619" w:rsidRDefault="00AC3619" w:rsidP="00CC62C8">
      <w:r>
        <w:t xml:space="preserve">       (ii) F minor</w:t>
      </w:r>
    </w:p>
    <w:p w:rsidR="00AC3619" w:rsidRDefault="00AC3619" w:rsidP="00CC62C8">
      <w:r>
        <w:t xml:space="preserve">      (iii) Tonic minor (an example of modal exchange)</w:t>
      </w:r>
    </w:p>
    <w:p w:rsidR="00AC3619" w:rsidRDefault="00AC3619" w:rsidP="00CC62C8">
      <w:r>
        <w:t xml:space="preserve">   (f) Option 2</w:t>
      </w:r>
    </w:p>
    <w:p w:rsidR="00951B06" w:rsidRDefault="00951B06" w:rsidP="00CC62C8">
      <w:r>
        <w:t>9. (</w:t>
      </w:r>
      <w:proofErr w:type="gramStart"/>
      <w:r>
        <w:t>a</w:t>
      </w:r>
      <w:proofErr w:type="gramEnd"/>
      <w:r>
        <w:t>) (</w:t>
      </w:r>
      <w:proofErr w:type="spellStart"/>
      <w:r>
        <w:t>i</w:t>
      </w:r>
      <w:proofErr w:type="spellEnd"/>
      <w:r>
        <w:t xml:space="preserve">) Section A uses a free rhythm that has rapid figures, long sustained sounds/pauses and moments of silence/rests. </w:t>
      </w:r>
    </w:p>
    <w:p w:rsidR="00AC3619" w:rsidRDefault="00951B06" w:rsidP="00CC62C8">
      <w:r>
        <w:t xml:space="preserve">       (ii) Section B uses a regular rhythm which is layered above option 4 question 10, a one bar rhythmic pattern that is repeated to make a four bar unit.</w:t>
      </w:r>
    </w:p>
    <w:p w:rsidR="00951B06" w:rsidRDefault="00951B06" w:rsidP="00CC62C8">
      <w:r>
        <w:t xml:space="preserve">      (b) (</w:t>
      </w:r>
      <w:proofErr w:type="spellStart"/>
      <w:proofErr w:type="gramStart"/>
      <w:r>
        <w:t>i</w:t>
      </w:r>
      <w:proofErr w:type="spellEnd"/>
      <w:proofErr w:type="gramEnd"/>
      <w:r>
        <w:t>) Section A is monophonic, that is the flute is unaccompanied. The timbre is varied using a range of techniques</w:t>
      </w:r>
      <w:proofErr w:type="gramStart"/>
      <w:r>
        <w:t>:-</w:t>
      </w:r>
      <w:proofErr w:type="gramEnd"/>
      <w:r>
        <w:t xml:space="preserve"> forceful tonguing, long reverberation time </w:t>
      </w:r>
      <w:r w:rsidR="00646700">
        <w:t xml:space="preserve">(reverb.) </w:t>
      </w:r>
      <w:r>
        <w:t>in the recording, vibrato, flutter tonguing.</w:t>
      </w:r>
    </w:p>
    <w:p w:rsidR="00951B06" w:rsidRDefault="00951B06" w:rsidP="00CC62C8">
      <w:r>
        <w:t xml:space="preserve">        (ii) Section B is multilayered using looping technology. One part is recorded then as it is played back another is added. All parts are played with standard techniques of tone control in contrast to the </w:t>
      </w:r>
      <w:r w:rsidR="00646700">
        <w:t>extended techniques used in the A section. The recording is ‘dryer’ having less reverberation time (reverb.).</w:t>
      </w:r>
    </w:p>
    <w:p w:rsidR="00646700" w:rsidRDefault="00646700" w:rsidP="00CC62C8">
      <w:r>
        <w:t>10. Option 4</w:t>
      </w:r>
    </w:p>
    <w:p w:rsidR="00646700" w:rsidRDefault="00646700" w:rsidP="00CC62C8">
      <w:r>
        <w:t>11. (</w:t>
      </w:r>
      <w:proofErr w:type="gramStart"/>
      <w:r>
        <w:t>a</w:t>
      </w:r>
      <w:proofErr w:type="gramEnd"/>
      <w:r>
        <w:t xml:space="preserve">) The rhythm of the original 4/4 melody in crotchets has been changed to a 7/8 time with a minim followed by a dotted crotchet. </w:t>
      </w:r>
    </w:p>
    <w:p w:rsidR="00646700" w:rsidRDefault="00646700" w:rsidP="00CC62C8">
      <w:r>
        <w:t xml:space="preserve">    (b) (</w:t>
      </w:r>
      <w:proofErr w:type="spellStart"/>
      <w:proofErr w:type="gramStart"/>
      <w:r>
        <w:t>i</w:t>
      </w:r>
      <w:proofErr w:type="spellEnd"/>
      <w:proofErr w:type="gramEnd"/>
      <w:r>
        <w:t>) Viola</w:t>
      </w:r>
    </w:p>
    <w:p w:rsidR="00646700" w:rsidRDefault="00646700" w:rsidP="00CC62C8">
      <w:r>
        <w:lastRenderedPageBreak/>
        <w:t xml:space="preserve">       (ii) First violin</w:t>
      </w:r>
    </w:p>
    <w:p w:rsidR="00646700" w:rsidRDefault="00646700" w:rsidP="00CC62C8">
      <w:r>
        <w:t xml:space="preserve">       (iii) Second violin</w:t>
      </w:r>
    </w:p>
    <w:p w:rsidR="00646700" w:rsidRDefault="00646700" w:rsidP="00CC62C8">
      <w:r>
        <w:t xml:space="preserve">   (c) The violoncello supplies a quaver arpeggiated chord accompaniment with accents on the first and fifth quaver to supply the rhythmic drive. The repeated D in every bar in this passage is a tonic pedal. </w:t>
      </w:r>
    </w:p>
    <w:p w:rsidR="00646700" w:rsidRDefault="00646700" w:rsidP="00CC62C8">
      <w:r>
        <w:t xml:space="preserve">   (d) (</w:t>
      </w:r>
      <w:proofErr w:type="spellStart"/>
      <w:proofErr w:type="gramStart"/>
      <w:r>
        <w:t>i</w:t>
      </w:r>
      <w:proofErr w:type="spellEnd"/>
      <w:proofErr w:type="gramEnd"/>
      <w:r>
        <w:t>) pizz. stands for pizzicato the technique of plucking the strings</w:t>
      </w:r>
    </w:p>
    <w:p w:rsidR="00646700" w:rsidRDefault="00646700" w:rsidP="00CC62C8">
      <w:r>
        <w:t xml:space="preserve">       (ii) </w:t>
      </w:r>
      <w:proofErr w:type="gramStart"/>
      <w:r>
        <w:t>arco</w:t>
      </w:r>
      <w:proofErr w:type="gramEnd"/>
      <w:r>
        <w:t xml:space="preserve"> means use the bow</w:t>
      </w:r>
    </w:p>
    <w:p w:rsidR="00CB27AF" w:rsidRDefault="00CB27AF" w:rsidP="00CC62C8">
      <w:r>
        <w:t xml:space="preserve">   (e) </w:t>
      </w:r>
    </w:p>
    <w:p w:rsidR="00646700" w:rsidRDefault="00CB27AF" w:rsidP="00CC62C8">
      <w:r>
        <w:t xml:space="preserve"> </w:t>
      </w:r>
      <w:r>
        <w:rPr>
          <w:noProof/>
          <w:lang w:eastAsia="en-AU"/>
        </w:rPr>
        <w:drawing>
          <wp:inline distT="0" distB="0" distL="0" distR="0">
            <wp:extent cx="3401483" cy="485904"/>
            <wp:effectExtent l="19050" t="0" r="8467"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3398973" cy="485545"/>
                    </a:xfrm>
                    <a:prstGeom prst="rect">
                      <a:avLst/>
                    </a:prstGeom>
                    <a:noFill/>
                    <a:ln w="9525">
                      <a:noFill/>
                      <a:miter lim="800000"/>
                      <a:headEnd/>
                      <a:tailEnd/>
                    </a:ln>
                  </pic:spPr>
                </pic:pic>
              </a:graphicData>
            </a:graphic>
          </wp:inline>
        </w:drawing>
      </w:r>
    </w:p>
    <w:p w:rsidR="00CB27AF" w:rsidRDefault="00CB27AF" w:rsidP="00CC62C8">
      <w:r>
        <w:t xml:space="preserve">   (f)  D </w:t>
      </w:r>
      <w:proofErr w:type="spellStart"/>
      <w:r>
        <w:t>Bm</w:t>
      </w:r>
      <w:proofErr w:type="spellEnd"/>
      <w:r>
        <w:t xml:space="preserve"> </w:t>
      </w:r>
      <w:proofErr w:type="spellStart"/>
      <w:r>
        <w:t>Em</w:t>
      </w:r>
      <w:proofErr w:type="spellEnd"/>
      <w:r>
        <w:t xml:space="preserve"> </w:t>
      </w:r>
      <w:proofErr w:type="gramStart"/>
      <w:r>
        <w:t>A</w:t>
      </w:r>
      <w:proofErr w:type="gramEnd"/>
      <w:r>
        <w:t xml:space="preserve"> That is I, vi, ii, V</w:t>
      </w:r>
    </w:p>
    <w:p w:rsidR="00CB27AF" w:rsidRDefault="0064083F" w:rsidP="00CC62C8">
      <w:r>
        <w:t>12. (</w:t>
      </w:r>
      <w:proofErr w:type="gramStart"/>
      <w:r>
        <w:t>a</w:t>
      </w:r>
      <w:proofErr w:type="gramEnd"/>
      <w:r>
        <w:t xml:space="preserve">) The </w:t>
      </w:r>
      <w:r w:rsidRPr="0064083F">
        <w:rPr>
          <w:i/>
        </w:rPr>
        <w:t>F</w:t>
      </w:r>
      <w:r w:rsidR="000352DE" w:rsidRPr="0064083F">
        <w:rPr>
          <w:i/>
        </w:rPr>
        <w:t>anfare</w:t>
      </w:r>
      <w:r w:rsidR="000352DE">
        <w:t xml:space="preserve"> is polyphonic, using counterpoint between trumpet 1 &amp; 2 in bars 1 – 14 and between all three instruments at bars 15 – 24. There </w:t>
      </w:r>
      <w:proofErr w:type="gramStart"/>
      <w:r w:rsidR="000352DE">
        <w:t>is</w:t>
      </w:r>
      <w:proofErr w:type="gramEnd"/>
      <w:r w:rsidR="000352DE">
        <w:t xml:space="preserve"> a sustained chordal accompaniment bars 6 – 14 and a final homophonic section </w:t>
      </w:r>
      <w:r>
        <w:t>from the piano</w:t>
      </w:r>
      <w:r w:rsidR="000352DE">
        <w:t xml:space="preserve"> bars </w:t>
      </w:r>
      <w:r>
        <w:t xml:space="preserve">26 – 27. </w:t>
      </w:r>
    </w:p>
    <w:p w:rsidR="0064083F" w:rsidRDefault="0064083F" w:rsidP="00CC62C8">
      <w:r>
        <w:t xml:space="preserve">Threnody’s opening bar and bars 21 – 23 have a homophonic texture. Some moments feature an accompanied melody such as bar 2, and most obviously in bars 5 – 13. </w:t>
      </w:r>
    </w:p>
    <w:p w:rsidR="0064083F" w:rsidRDefault="0064083F" w:rsidP="00CC62C8">
      <w:r>
        <w:t xml:space="preserve">   (b) The Fanfare is mainly in 4/4 meter but with 2/4 used at cadence points, bars 5, 10, 23 &amp; 25. Triplet subdivisions of the beat are a feature as are acciaccaturas (crushing notes – very short notes with a decorative function).</w:t>
      </w:r>
    </w:p>
    <w:p w:rsidR="0064083F" w:rsidRDefault="0064083F" w:rsidP="00CC62C8">
      <w:r>
        <w:t xml:space="preserve">Threnody features the quaver as the main subdivision of the beat. Initially there is one bar of 4/4 followed by two bars, then three bars of 6/8. Later 7/8 is found in bar 9 and ¾ </w:t>
      </w:r>
      <w:r w:rsidR="00A113E3">
        <w:t>in bars 17, 20 – 23 and 27 – end. There is some use of syncopation in bars 24 – 25.</w:t>
      </w:r>
    </w:p>
    <w:p w:rsidR="00A113E3" w:rsidRDefault="00A113E3" w:rsidP="00CC62C8">
      <w:r>
        <w:t xml:space="preserve">   (c) Fanfare features imitation between trumpet 2 and the piano in bars 19 – 21. A canon between trumpet 1 and 2 is found in bars 15 – 17 with trumpet 2 a 4</w:t>
      </w:r>
      <w:r w:rsidRPr="00A113E3">
        <w:rPr>
          <w:vertAlign w:val="superscript"/>
        </w:rPr>
        <w:t>th</w:t>
      </w:r>
      <w:r>
        <w:t xml:space="preserve"> lower.</w:t>
      </w:r>
    </w:p>
    <w:p w:rsidR="00A113E3" w:rsidRDefault="00A113E3" w:rsidP="00CC62C8">
      <w:r>
        <w:t>Threnody uses staggered entries bars 1, 4 &amp; 8, with a similar feature, though with long notes, in bar 15. There are parallel 5ths between the bassoon and flute in bar 11 – this has the effect of changing the tone colour.</w:t>
      </w:r>
    </w:p>
    <w:p w:rsidR="00FE27B7" w:rsidRDefault="00FE27B7">
      <w:r>
        <w:br w:type="page"/>
      </w:r>
    </w:p>
    <w:p w:rsidR="00FE27B7" w:rsidRDefault="00FE27B7" w:rsidP="00CC62C8">
      <w:r>
        <w:lastRenderedPageBreak/>
        <w:t>13. Possible answer</w:t>
      </w:r>
    </w:p>
    <w:p w:rsidR="00FE27B7" w:rsidRDefault="00FE27B7" w:rsidP="00CC62C8">
      <w:r>
        <w:rPr>
          <w:noProof/>
          <w:lang w:eastAsia="en-AU"/>
        </w:rPr>
        <w:drawing>
          <wp:inline distT="0" distB="0" distL="0" distR="0">
            <wp:extent cx="5731510" cy="2379331"/>
            <wp:effectExtent l="19050" t="0" r="254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5731510" cy="2379331"/>
                    </a:xfrm>
                    <a:prstGeom prst="rect">
                      <a:avLst/>
                    </a:prstGeom>
                    <a:noFill/>
                    <a:ln w="9525">
                      <a:noFill/>
                      <a:miter lim="800000"/>
                      <a:headEnd/>
                      <a:tailEnd/>
                    </a:ln>
                  </pic:spPr>
                </pic:pic>
              </a:graphicData>
            </a:graphic>
          </wp:inline>
        </w:drawing>
      </w:r>
      <w:r w:rsidR="008C6FD6">
        <w:t>14.</w:t>
      </w:r>
    </w:p>
    <w:p w:rsidR="008C6FD6" w:rsidRDefault="008C6FD6" w:rsidP="00CC62C8">
      <w:r>
        <w:rPr>
          <w:noProof/>
          <w:lang w:eastAsia="en-AU"/>
        </w:rPr>
        <w:drawing>
          <wp:inline distT="0" distB="0" distL="0" distR="0">
            <wp:extent cx="5731510" cy="680668"/>
            <wp:effectExtent l="19050" t="0" r="254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srcRect/>
                    <a:stretch>
                      <a:fillRect/>
                    </a:stretch>
                  </pic:blipFill>
                  <pic:spPr bwMode="auto">
                    <a:xfrm>
                      <a:off x="0" y="0"/>
                      <a:ext cx="5731510" cy="680668"/>
                    </a:xfrm>
                    <a:prstGeom prst="rect">
                      <a:avLst/>
                    </a:prstGeom>
                    <a:noFill/>
                    <a:ln w="9525">
                      <a:noFill/>
                      <a:miter lim="800000"/>
                      <a:headEnd/>
                      <a:tailEnd/>
                    </a:ln>
                  </pic:spPr>
                </pic:pic>
              </a:graphicData>
            </a:graphic>
          </wp:inline>
        </w:drawing>
      </w:r>
    </w:p>
    <w:p w:rsidR="008C6FD6" w:rsidRDefault="00EC1CD0" w:rsidP="00CC62C8">
      <w:r>
        <w:t xml:space="preserve">15 Option </w:t>
      </w:r>
      <w:proofErr w:type="gramStart"/>
      <w:r>
        <w:t>A</w:t>
      </w:r>
      <w:proofErr w:type="gramEnd"/>
      <w:r>
        <w:t xml:space="preserve"> Possible answer</w:t>
      </w:r>
    </w:p>
    <w:p w:rsidR="00EC1CD0" w:rsidRDefault="00EC1CD0" w:rsidP="00CC62C8">
      <w:r>
        <w:rPr>
          <w:noProof/>
          <w:lang w:eastAsia="en-AU"/>
        </w:rPr>
        <w:drawing>
          <wp:inline distT="0" distB="0" distL="0" distR="0">
            <wp:extent cx="5731510" cy="1569944"/>
            <wp:effectExtent l="19050" t="0" r="2540" b="0"/>
            <wp:docPr id="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srcRect/>
                    <a:stretch>
                      <a:fillRect/>
                    </a:stretch>
                  </pic:blipFill>
                  <pic:spPr bwMode="auto">
                    <a:xfrm>
                      <a:off x="0" y="0"/>
                      <a:ext cx="5731510" cy="1569944"/>
                    </a:xfrm>
                    <a:prstGeom prst="rect">
                      <a:avLst/>
                    </a:prstGeom>
                    <a:noFill/>
                    <a:ln w="9525">
                      <a:noFill/>
                      <a:miter lim="800000"/>
                      <a:headEnd/>
                      <a:tailEnd/>
                    </a:ln>
                  </pic:spPr>
                </pic:pic>
              </a:graphicData>
            </a:graphic>
          </wp:inline>
        </w:drawing>
      </w:r>
    </w:p>
    <w:p w:rsidR="00EC1CD0" w:rsidRDefault="00EC1CD0" w:rsidP="00CC62C8">
      <w:r>
        <w:t>15 Option B Possible answer</w:t>
      </w:r>
    </w:p>
    <w:p w:rsidR="00EC1CD0" w:rsidRDefault="00755036" w:rsidP="00CC62C8">
      <w:r>
        <w:rPr>
          <w:noProof/>
          <w:lang w:eastAsia="en-AU"/>
        </w:rPr>
        <w:drawing>
          <wp:inline distT="0" distB="0" distL="0" distR="0">
            <wp:extent cx="5731510" cy="2121728"/>
            <wp:effectExtent l="19050" t="0" r="2540" b="0"/>
            <wp:docPr id="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cstate="print"/>
                    <a:srcRect/>
                    <a:stretch>
                      <a:fillRect/>
                    </a:stretch>
                  </pic:blipFill>
                  <pic:spPr bwMode="auto">
                    <a:xfrm>
                      <a:off x="0" y="0"/>
                      <a:ext cx="5731510" cy="2121728"/>
                    </a:xfrm>
                    <a:prstGeom prst="rect">
                      <a:avLst/>
                    </a:prstGeom>
                    <a:noFill/>
                    <a:ln w="9525">
                      <a:noFill/>
                      <a:miter lim="800000"/>
                      <a:headEnd/>
                      <a:tailEnd/>
                    </a:ln>
                  </pic:spPr>
                </pic:pic>
              </a:graphicData>
            </a:graphic>
          </wp:inline>
        </w:drawing>
      </w:r>
    </w:p>
    <w:p w:rsidR="00FE27B7" w:rsidRDefault="008C6FD6" w:rsidP="00CC62C8">
      <w:r>
        <w:t xml:space="preserve"> </w:t>
      </w:r>
    </w:p>
    <w:sectPr w:rsidR="00FE27B7" w:rsidSect="00294267">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grammar="clean"/>
  <w:defaultTabStop w:val="720"/>
  <w:characterSpacingControl w:val="doNotCompress"/>
  <w:compat/>
  <w:rsids>
    <w:rsidRoot w:val="00E83B33"/>
    <w:rsid w:val="000352DE"/>
    <w:rsid w:val="00294267"/>
    <w:rsid w:val="003220B2"/>
    <w:rsid w:val="00363010"/>
    <w:rsid w:val="004F66F1"/>
    <w:rsid w:val="0064083F"/>
    <w:rsid w:val="00646700"/>
    <w:rsid w:val="006C7E0C"/>
    <w:rsid w:val="00755036"/>
    <w:rsid w:val="008C6FD6"/>
    <w:rsid w:val="00911949"/>
    <w:rsid w:val="00951B06"/>
    <w:rsid w:val="00A113E3"/>
    <w:rsid w:val="00AC3619"/>
    <w:rsid w:val="00B01659"/>
    <w:rsid w:val="00B54781"/>
    <w:rsid w:val="00CB27AF"/>
    <w:rsid w:val="00CC62C8"/>
    <w:rsid w:val="00DF7DF5"/>
    <w:rsid w:val="00E10163"/>
    <w:rsid w:val="00E83B33"/>
    <w:rsid w:val="00EC1CD0"/>
    <w:rsid w:val="00FE27B7"/>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4267"/>
  </w:style>
  <w:style w:type="paragraph" w:styleId="Heading1">
    <w:name w:val="heading 1"/>
    <w:basedOn w:val="Normal"/>
    <w:next w:val="Normal"/>
    <w:link w:val="Heading1Char"/>
    <w:uiPriority w:val="9"/>
    <w:qFormat/>
    <w:rsid w:val="00E1016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630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3010"/>
    <w:rPr>
      <w:rFonts w:ascii="Tahoma" w:hAnsi="Tahoma" w:cs="Tahoma"/>
      <w:sz w:val="16"/>
      <w:szCs w:val="16"/>
    </w:rPr>
  </w:style>
  <w:style w:type="character" w:customStyle="1" w:styleId="Heading1Char">
    <w:name w:val="Heading 1 Char"/>
    <w:basedOn w:val="DefaultParagraphFont"/>
    <w:link w:val="Heading1"/>
    <w:uiPriority w:val="9"/>
    <w:rsid w:val="00E10163"/>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5" Type="http://schemas.openxmlformats.org/officeDocument/2006/relationships/theme" Target="theme/theme1.xml"/><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577</Words>
  <Characters>3295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Virginia</dc:creator>
  <cp:lastModifiedBy>Virginia</cp:lastModifiedBy>
  <cp:revision>2</cp:revision>
  <dcterms:created xsi:type="dcterms:W3CDTF">2021-01-13T22:12:00Z</dcterms:created>
  <dcterms:modified xsi:type="dcterms:W3CDTF">2021-01-13T22:12:00Z</dcterms:modified>
</cp:coreProperties>
</file>